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b/>
          <w:bCs/>
          <w:color w:val="000000"/>
          <w:sz w:val="56"/>
          <w:szCs w:val="56"/>
          <w:lang w:val="en-US" w:eastAsia="zh-CN"/>
        </w:rPr>
      </w:pPr>
      <w:r>
        <w:rPr>
          <w:rFonts w:hint="eastAsia"/>
          <w:b/>
          <w:bCs/>
          <w:color w:val="000000"/>
          <w:sz w:val="56"/>
          <w:szCs w:val="56"/>
          <w:lang w:val="en-US" w:eastAsia="zh-CN"/>
        </w:rPr>
        <w:t>2023年白沙县学前教育普及普惠项目-东片区校舍维修、绿化等附属工程</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b/>
          <w:color w:val="000000"/>
          <w:sz w:val="72"/>
          <w:szCs w:val="72"/>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b/>
          <w:color w:val="000000"/>
          <w:sz w:val="72"/>
          <w:szCs w:val="72"/>
        </w:rPr>
      </w:pPr>
      <w:r>
        <w:rPr>
          <w:b/>
          <w:color w:val="000000"/>
          <w:sz w:val="72"/>
          <w:szCs w:val="72"/>
        </w:rPr>
        <w:t>竞</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b/>
          <w:color w:val="000000"/>
          <w:sz w:val="72"/>
          <w:szCs w:val="72"/>
        </w:rPr>
      </w:pPr>
      <w:r>
        <w:rPr>
          <w:b/>
          <w:color w:val="000000"/>
          <w:sz w:val="72"/>
          <w:szCs w:val="72"/>
        </w:rPr>
        <w:t>争</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b/>
          <w:color w:val="000000"/>
          <w:sz w:val="72"/>
          <w:szCs w:val="72"/>
        </w:rPr>
      </w:pPr>
      <w:r>
        <w:rPr>
          <w:b/>
          <w:color w:val="000000"/>
          <w:sz w:val="72"/>
          <w:szCs w:val="72"/>
        </w:rPr>
        <w:t>性</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b/>
          <w:color w:val="000000"/>
          <w:sz w:val="72"/>
          <w:szCs w:val="72"/>
          <w:lang w:eastAsia="zh-CN"/>
        </w:rPr>
      </w:pPr>
      <w:r>
        <w:rPr>
          <w:rFonts w:hint="eastAsia"/>
          <w:b/>
          <w:color w:val="000000"/>
          <w:sz w:val="72"/>
          <w:szCs w:val="72"/>
          <w:lang w:eastAsia="zh-CN"/>
        </w:rPr>
        <w:t>磋</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b/>
          <w:color w:val="000000"/>
          <w:sz w:val="72"/>
          <w:szCs w:val="72"/>
          <w:lang w:eastAsia="zh-CN"/>
        </w:rPr>
      </w:pPr>
      <w:r>
        <w:rPr>
          <w:rFonts w:hint="eastAsia"/>
          <w:b/>
          <w:color w:val="000000"/>
          <w:sz w:val="72"/>
          <w:szCs w:val="72"/>
          <w:lang w:eastAsia="zh-CN"/>
        </w:rPr>
        <w:t>商</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b/>
          <w:color w:val="000000"/>
          <w:sz w:val="72"/>
          <w:szCs w:val="72"/>
        </w:rPr>
      </w:pPr>
      <w:r>
        <w:rPr>
          <w:b/>
          <w:color w:val="000000"/>
          <w:sz w:val="72"/>
          <w:szCs w:val="72"/>
        </w:rPr>
        <w:t>文</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b/>
          <w:color w:val="000000"/>
          <w:sz w:val="72"/>
          <w:szCs w:val="72"/>
        </w:rPr>
      </w:pPr>
      <w:r>
        <w:rPr>
          <w:b/>
          <w:color w:val="000000"/>
          <w:sz w:val="72"/>
          <w:szCs w:val="72"/>
        </w:rPr>
        <w:t>件</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b/>
          <w:color w:val="000000"/>
          <w:spacing w:val="98"/>
          <w:sz w:val="30"/>
        </w:rPr>
      </w:pPr>
    </w:p>
    <w:p>
      <w:pPr>
        <w:keepNext w:val="0"/>
        <w:keepLines w:val="0"/>
        <w:pageBreakBefore w:val="0"/>
        <w:widowControl/>
        <w:kinsoku/>
        <w:wordWrap/>
        <w:overflowPunct/>
        <w:topLinePunct w:val="0"/>
        <w:autoSpaceDE/>
        <w:autoSpaceDN/>
        <w:bidi w:val="0"/>
        <w:adjustRightInd/>
        <w:snapToGrid/>
        <w:spacing w:line="360" w:lineRule="auto"/>
        <w:ind w:firstLine="964" w:firstLineChars="300"/>
        <w:textAlignment w:val="auto"/>
        <w:rPr>
          <w:rFonts w:hint="eastAsia" w:ascii="宋体" w:hAnsi="宋体" w:eastAsia="宋体" w:cs="宋体"/>
          <w:b/>
          <w:color w:val="000000"/>
          <w:sz w:val="32"/>
          <w:szCs w:val="32"/>
          <w:highlight w:val="none"/>
          <w:lang w:val="en-US" w:eastAsia="zh-CN"/>
        </w:rPr>
      </w:pPr>
      <w:r>
        <w:rPr>
          <w:rFonts w:hint="eastAsia" w:ascii="宋体" w:hAnsi="宋体" w:cs="宋体"/>
          <w:b/>
          <w:color w:val="000000"/>
          <w:sz w:val="32"/>
          <w:szCs w:val="32"/>
          <w:lang w:val="en-US" w:eastAsia="zh-CN"/>
        </w:rPr>
        <w:t>项目</w:t>
      </w:r>
      <w:r>
        <w:rPr>
          <w:rFonts w:hint="eastAsia" w:ascii="宋体" w:hAnsi="宋体" w:eastAsia="宋体" w:cs="宋体"/>
          <w:b/>
          <w:color w:val="000000"/>
          <w:sz w:val="32"/>
          <w:szCs w:val="32"/>
          <w:lang w:val="en-US" w:eastAsia="zh-CN"/>
        </w:rPr>
        <w:t>编号：HNLC-2023[12]</w:t>
      </w:r>
    </w:p>
    <w:p>
      <w:pPr>
        <w:keepNext w:val="0"/>
        <w:keepLines w:val="0"/>
        <w:pageBreakBefore w:val="0"/>
        <w:widowControl/>
        <w:kinsoku/>
        <w:wordWrap/>
        <w:overflowPunct/>
        <w:topLinePunct w:val="0"/>
        <w:autoSpaceDE/>
        <w:autoSpaceDN/>
        <w:bidi w:val="0"/>
        <w:adjustRightInd/>
        <w:snapToGrid/>
        <w:spacing w:line="360" w:lineRule="auto"/>
        <w:ind w:firstLine="964" w:firstLineChars="300"/>
        <w:textAlignment w:val="auto"/>
        <w:rPr>
          <w:rFonts w:hint="default" w:ascii="宋体" w:hAnsi="宋体" w:cs="宋体"/>
          <w:b/>
          <w:color w:val="000000"/>
          <w:sz w:val="32"/>
          <w:szCs w:val="32"/>
          <w:lang w:val="en-US" w:eastAsia="zh-CN"/>
        </w:rPr>
      </w:pPr>
      <w:r>
        <w:rPr>
          <w:rFonts w:hint="eastAsia" w:ascii="宋体" w:hAnsi="宋体" w:cs="宋体"/>
          <w:b/>
          <w:color w:val="000000"/>
          <w:sz w:val="32"/>
          <w:szCs w:val="32"/>
          <w:lang w:val="en-US" w:eastAsia="zh-CN"/>
        </w:rPr>
        <w:t>采购单位：白沙黎族自治县教育局</w:t>
      </w:r>
    </w:p>
    <w:p>
      <w:pPr>
        <w:keepNext w:val="0"/>
        <w:keepLines w:val="0"/>
        <w:pageBreakBefore w:val="0"/>
        <w:widowControl/>
        <w:kinsoku/>
        <w:wordWrap/>
        <w:overflowPunct/>
        <w:topLinePunct w:val="0"/>
        <w:autoSpaceDE/>
        <w:autoSpaceDN/>
        <w:bidi w:val="0"/>
        <w:adjustRightInd/>
        <w:snapToGrid/>
        <w:spacing w:line="360" w:lineRule="auto"/>
        <w:ind w:firstLine="964" w:firstLineChars="300"/>
        <w:textAlignment w:val="auto"/>
        <w:rPr>
          <w:rFonts w:hint="eastAsia" w:ascii="宋体" w:hAnsi="宋体" w:cs="宋体"/>
          <w:b/>
          <w:color w:val="000000"/>
          <w:sz w:val="32"/>
          <w:szCs w:val="32"/>
          <w:lang w:val="en-US" w:eastAsia="zh-CN"/>
        </w:rPr>
      </w:pPr>
      <w:r>
        <w:rPr>
          <w:rFonts w:hint="eastAsia" w:ascii="宋体" w:hAnsi="宋体" w:cs="宋体"/>
          <w:b/>
          <w:color w:val="000000"/>
          <w:sz w:val="32"/>
          <w:szCs w:val="32"/>
          <w:lang w:val="en-US" w:eastAsia="zh-CN"/>
        </w:rPr>
        <w:t>代理机构：海南珑宸项目管理有限公司</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b/>
          <w:color w:val="000000"/>
          <w:sz w:val="32"/>
          <w:szCs w:val="32"/>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Courier New"/>
          <w:b/>
          <w:color w:val="000000"/>
          <w:w w:val="95"/>
          <w:kern w:val="1"/>
          <w:sz w:val="32"/>
          <w:szCs w:val="32"/>
        </w:rPr>
      </w:pPr>
      <w:r>
        <w:rPr>
          <w:rFonts w:hint="eastAsia" w:ascii="宋体" w:hAnsi="宋体" w:cs="Courier New"/>
          <w:b/>
          <w:color w:val="000000"/>
          <w:w w:val="95"/>
          <w:kern w:val="1"/>
          <w:sz w:val="32"/>
          <w:szCs w:val="32"/>
          <w:lang w:val="en-US" w:eastAsia="zh-CN"/>
        </w:rPr>
        <w:t>2023</w:t>
      </w:r>
      <w:r>
        <w:rPr>
          <w:rFonts w:hint="eastAsia" w:ascii="宋体" w:hAnsi="宋体" w:cs="Courier New"/>
          <w:b/>
          <w:color w:val="000000"/>
          <w:w w:val="95"/>
          <w:kern w:val="1"/>
          <w:sz w:val="32"/>
          <w:szCs w:val="32"/>
        </w:rPr>
        <w:t>年</w:t>
      </w:r>
      <w:r>
        <w:rPr>
          <w:rFonts w:hint="eastAsia" w:ascii="宋体" w:hAnsi="宋体" w:cs="Courier New"/>
          <w:b/>
          <w:color w:val="000000"/>
          <w:w w:val="95"/>
          <w:kern w:val="1"/>
          <w:sz w:val="32"/>
          <w:szCs w:val="32"/>
          <w:lang w:val="en-US" w:eastAsia="zh-CN"/>
        </w:rPr>
        <w:t>07</w:t>
      </w:r>
      <w:r>
        <w:rPr>
          <w:rFonts w:hint="eastAsia" w:ascii="宋体" w:hAnsi="宋体" w:cs="Courier New"/>
          <w:b/>
          <w:color w:val="000000"/>
          <w:w w:val="95"/>
          <w:kern w:val="1"/>
          <w:sz w:val="32"/>
          <w:szCs w:val="32"/>
        </w:rPr>
        <w:t>月编制</w:t>
      </w:r>
    </w:p>
    <w:p>
      <w:pPr>
        <w:pStyle w:val="15"/>
        <w:pageBreakBefore w:val="0"/>
        <w:kinsoku/>
        <w:topLinePunct w:val="0"/>
        <w:bidi w:val="0"/>
        <w:spacing w:before="100" w:after="100" w:line="360" w:lineRule="auto"/>
        <w:jc w:val="both"/>
        <w:rPr>
          <w:rFonts w:hint="eastAsia"/>
          <w:caps w:val="0"/>
          <w:color w:val="000000"/>
          <w:sz w:val="36"/>
          <w:szCs w:val="36"/>
          <w:highlight w:val="none"/>
        </w:rPr>
      </w:pPr>
    </w:p>
    <w:p>
      <w:pPr>
        <w:pStyle w:val="15"/>
        <w:pageBreakBefore w:val="0"/>
        <w:kinsoku/>
        <w:topLinePunct w:val="0"/>
        <w:bidi w:val="0"/>
        <w:spacing w:before="100" w:after="100" w:line="360" w:lineRule="auto"/>
        <w:jc w:val="both"/>
        <w:rPr>
          <w:rFonts w:hint="eastAsia"/>
          <w:caps w:val="0"/>
          <w:color w:val="000000"/>
          <w:sz w:val="36"/>
          <w:szCs w:val="36"/>
          <w:highlight w:val="none"/>
        </w:rPr>
        <w:sectPr>
          <w:headerReference r:id="rId3" w:type="default"/>
          <w:footerReference r:id="rId4" w:type="default"/>
          <w:pgSz w:w="11906" w:h="16838"/>
          <w:pgMar w:top="1247" w:right="1247" w:bottom="1134" w:left="1644" w:header="851" w:footer="850" w:gutter="0"/>
          <w:pgNumType w:fmt="decimal" w:start="0"/>
          <w:cols w:space="708" w:num="1"/>
          <w:titlePg/>
          <w:docGrid w:type="lines" w:linePitch="321" w:charSpace="0"/>
        </w:sectPr>
      </w:pPr>
    </w:p>
    <w:p>
      <w:pPr>
        <w:pStyle w:val="15"/>
        <w:pageBreakBefore w:val="0"/>
        <w:kinsoku/>
        <w:topLinePunct w:val="0"/>
        <w:bidi w:val="0"/>
        <w:spacing w:before="100" w:after="100" w:line="360" w:lineRule="auto"/>
        <w:jc w:val="center"/>
        <w:rPr>
          <w:rFonts w:hint="eastAsia"/>
          <w:caps w:val="0"/>
          <w:color w:val="000000"/>
          <w:sz w:val="36"/>
          <w:szCs w:val="36"/>
          <w:highlight w:val="none"/>
        </w:rPr>
      </w:pPr>
      <w:r>
        <w:rPr>
          <w:rFonts w:hint="eastAsia"/>
          <w:caps w:val="0"/>
          <w:color w:val="000000"/>
          <w:sz w:val="36"/>
          <w:szCs w:val="36"/>
          <w:highlight w:val="none"/>
        </w:rPr>
        <w:t>目   录</w:t>
      </w:r>
    </w:p>
    <w:p>
      <w:pPr>
        <w:pStyle w:val="15"/>
        <w:keepNext w:val="0"/>
        <w:keepLines w:val="0"/>
        <w:pageBreakBefore w:val="0"/>
        <w:widowControl w:val="0"/>
        <w:tabs>
          <w:tab w:val="right" w:leader="dot" w:pos="9015"/>
        </w:tabs>
        <w:kinsoku/>
        <w:wordWrap/>
        <w:overflowPunct/>
        <w:topLinePunct w:val="0"/>
        <w:autoSpaceDE/>
        <w:autoSpaceDN/>
        <w:bidi w:val="0"/>
        <w:adjustRightInd/>
        <w:snapToGrid/>
        <w:spacing w:line="360" w:lineRule="auto"/>
        <w:textAlignment w:val="auto"/>
        <w:rPr>
          <w:color w:val="000000"/>
          <w:sz w:val="32"/>
          <w:szCs w:val="32"/>
          <w:highlight w:val="none"/>
        </w:rPr>
      </w:pPr>
      <w:r>
        <w:rPr>
          <w:b w:val="0"/>
          <w:caps w:val="0"/>
          <w:color w:val="000000"/>
          <w:sz w:val="21"/>
          <w:szCs w:val="21"/>
          <w:highlight w:val="none"/>
        </w:rPr>
        <w:fldChar w:fldCharType="begin"/>
      </w:r>
      <w:r>
        <w:rPr>
          <w:b w:val="0"/>
          <w:caps w:val="0"/>
          <w:color w:val="000000"/>
          <w:sz w:val="21"/>
          <w:szCs w:val="21"/>
          <w:highlight w:val="none"/>
        </w:rPr>
        <w:instrText xml:space="preserve"> TOC \o "1-3" \h \z \u </w:instrText>
      </w:r>
      <w:r>
        <w:rPr>
          <w:b w:val="0"/>
          <w:caps w:val="0"/>
          <w:color w:val="000000"/>
          <w:sz w:val="21"/>
          <w:szCs w:val="21"/>
          <w:highlight w:val="none"/>
        </w:rPr>
        <w:fldChar w:fldCharType="separate"/>
      </w:r>
      <w:r>
        <w:fldChar w:fldCharType="begin"/>
      </w:r>
      <w:r>
        <w:instrText xml:space="preserve"> HYPERLINK \l "_Toc12854" </w:instrText>
      </w:r>
      <w:r>
        <w:fldChar w:fldCharType="separate"/>
      </w:r>
      <w:r>
        <w:rPr>
          <w:rFonts w:hint="eastAsia"/>
          <w:color w:val="000000"/>
          <w:sz w:val="32"/>
          <w:szCs w:val="32"/>
          <w:highlight w:val="none"/>
        </w:rPr>
        <w:t>第一部分</w:t>
      </w:r>
      <w:r>
        <w:rPr>
          <w:color w:val="000000"/>
          <w:sz w:val="32"/>
          <w:szCs w:val="32"/>
          <w:highlight w:val="none"/>
        </w:rPr>
        <w:t xml:space="preserve">  </w:t>
      </w:r>
      <w:r>
        <w:rPr>
          <w:rFonts w:hint="eastAsia"/>
          <w:color w:val="000000"/>
          <w:sz w:val="32"/>
          <w:szCs w:val="32"/>
          <w:highlight w:val="none"/>
          <w:lang w:eastAsia="zh-CN"/>
        </w:rPr>
        <w:t>磋商</w:t>
      </w:r>
      <w:r>
        <w:rPr>
          <w:rFonts w:hint="eastAsia"/>
          <w:color w:val="000000"/>
          <w:sz w:val="32"/>
          <w:szCs w:val="32"/>
          <w:highlight w:val="none"/>
        </w:rPr>
        <w:t>公告</w:t>
      </w:r>
      <w:r>
        <w:rPr>
          <w:color w:val="000000"/>
          <w:sz w:val="32"/>
          <w:szCs w:val="32"/>
          <w:highlight w:val="none"/>
        </w:rPr>
        <w:tab/>
      </w:r>
      <w:r>
        <w:rPr>
          <w:color w:val="000000"/>
          <w:sz w:val="32"/>
          <w:szCs w:val="32"/>
          <w:highlight w:val="none"/>
        </w:rPr>
        <w:fldChar w:fldCharType="begin"/>
      </w:r>
      <w:r>
        <w:rPr>
          <w:color w:val="000000"/>
          <w:sz w:val="32"/>
          <w:szCs w:val="32"/>
          <w:highlight w:val="none"/>
        </w:rPr>
        <w:instrText xml:space="preserve"> PAGEREF _Toc12854 </w:instrText>
      </w:r>
      <w:r>
        <w:rPr>
          <w:color w:val="000000"/>
          <w:sz w:val="32"/>
          <w:szCs w:val="32"/>
          <w:highlight w:val="none"/>
        </w:rPr>
        <w:fldChar w:fldCharType="separate"/>
      </w:r>
      <w:r>
        <w:rPr>
          <w:color w:val="000000"/>
          <w:sz w:val="32"/>
          <w:szCs w:val="32"/>
          <w:highlight w:val="none"/>
        </w:rPr>
        <w:t>1</w:t>
      </w:r>
      <w:r>
        <w:rPr>
          <w:color w:val="000000"/>
          <w:sz w:val="32"/>
          <w:szCs w:val="32"/>
          <w:highlight w:val="none"/>
        </w:rPr>
        <w:fldChar w:fldCharType="end"/>
      </w:r>
      <w:r>
        <w:rPr>
          <w:color w:val="000000"/>
          <w:sz w:val="32"/>
          <w:szCs w:val="32"/>
          <w:highlight w:val="none"/>
        </w:rPr>
        <w:fldChar w:fldCharType="end"/>
      </w:r>
    </w:p>
    <w:p>
      <w:pPr>
        <w:pStyle w:val="15"/>
        <w:keepNext w:val="0"/>
        <w:keepLines w:val="0"/>
        <w:pageBreakBefore w:val="0"/>
        <w:widowControl w:val="0"/>
        <w:tabs>
          <w:tab w:val="right" w:leader="dot" w:pos="9015"/>
        </w:tabs>
        <w:kinsoku/>
        <w:wordWrap/>
        <w:overflowPunct/>
        <w:topLinePunct w:val="0"/>
        <w:autoSpaceDE/>
        <w:autoSpaceDN/>
        <w:bidi w:val="0"/>
        <w:adjustRightInd/>
        <w:snapToGrid/>
        <w:spacing w:line="360" w:lineRule="auto"/>
        <w:textAlignment w:val="auto"/>
        <w:rPr>
          <w:bCs w:val="0"/>
          <w:smallCaps/>
          <w:color w:val="000000"/>
          <w:sz w:val="32"/>
          <w:szCs w:val="32"/>
          <w:highlight w:val="none"/>
        </w:rPr>
      </w:pPr>
      <w:r>
        <w:fldChar w:fldCharType="begin"/>
      </w:r>
      <w:r>
        <w:instrText xml:space="preserve"> HYPERLINK \l "_Toc12841" </w:instrText>
      </w:r>
      <w:r>
        <w:fldChar w:fldCharType="separate"/>
      </w:r>
      <w:r>
        <w:rPr>
          <w:rFonts w:hint="eastAsia"/>
          <w:color w:val="000000"/>
          <w:sz w:val="32"/>
          <w:szCs w:val="32"/>
          <w:highlight w:val="none"/>
        </w:rPr>
        <w:t xml:space="preserve">第二部分  </w:t>
      </w:r>
      <w:r>
        <w:rPr>
          <w:rFonts w:hint="eastAsia"/>
          <w:color w:val="000000"/>
          <w:sz w:val="32"/>
          <w:szCs w:val="32"/>
          <w:highlight w:val="none"/>
          <w:lang w:eastAsia="zh-CN"/>
        </w:rPr>
        <w:t>供应商</w:t>
      </w:r>
      <w:r>
        <w:rPr>
          <w:rFonts w:hint="eastAsia"/>
          <w:color w:val="000000"/>
          <w:sz w:val="32"/>
          <w:szCs w:val="32"/>
          <w:highlight w:val="none"/>
        </w:rPr>
        <w:t>须知</w:t>
      </w:r>
      <w:r>
        <w:rPr>
          <w:color w:val="000000"/>
          <w:sz w:val="32"/>
          <w:szCs w:val="32"/>
          <w:highlight w:val="none"/>
        </w:rPr>
        <w:tab/>
      </w:r>
      <w:r>
        <w:rPr>
          <w:color w:val="000000"/>
          <w:sz w:val="32"/>
          <w:szCs w:val="32"/>
          <w:highlight w:val="none"/>
        </w:rPr>
        <w:fldChar w:fldCharType="begin"/>
      </w:r>
      <w:r>
        <w:rPr>
          <w:color w:val="000000"/>
          <w:sz w:val="32"/>
          <w:szCs w:val="32"/>
          <w:highlight w:val="none"/>
        </w:rPr>
        <w:instrText xml:space="preserve"> PAGEREF _Toc12841 </w:instrText>
      </w:r>
      <w:r>
        <w:rPr>
          <w:color w:val="000000"/>
          <w:sz w:val="32"/>
          <w:szCs w:val="32"/>
          <w:highlight w:val="none"/>
        </w:rPr>
        <w:fldChar w:fldCharType="separate"/>
      </w:r>
      <w:r>
        <w:rPr>
          <w:color w:val="000000"/>
          <w:sz w:val="32"/>
          <w:szCs w:val="32"/>
          <w:highlight w:val="none"/>
        </w:rPr>
        <w:t>4</w:t>
      </w:r>
      <w:r>
        <w:rPr>
          <w:color w:val="000000"/>
          <w:sz w:val="32"/>
          <w:szCs w:val="32"/>
          <w:highlight w:val="none"/>
        </w:rPr>
        <w:fldChar w:fldCharType="end"/>
      </w:r>
      <w:r>
        <w:rPr>
          <w:color w:val="000000"/>
          <w:sz w:val="32"/>
          <w:szCs w:val="32"/>
          <w:highlight w:val="none"/>
        </w:rPr>
        <w:fldChar w:fldCharType="end"/>
      </w:r>
    </w:p>
    <w:p>
      <w:pPr>
        <w:pageBreakBefore w:val="0"/>
        <w:kinsoku/>
        <w:topLinePunct w:val="0"/>
        <w:bidi w:val="0"/>
        <w:spacing w:line="360" w:lineRule="auto"/>
        <w:rPr>
          <w:rFonts w:hint="default" w:eastAsia="宋体"/>
          <w:lang w:val="en-US" w:eastAsia="zh-CN"/>
        </w:rPr>
      </w:pPr>
      <w:r>
        <w:fldChar w:fldCharType="begin"/>
      </w:r>
      <w:r>
        <w:instrText xml:space="preserve"> HYPERLINK \l "_Toc12841" </w:instrText>
      </w:r>
      <w:r>
        <w:fldChar w:fldCharType="separate"/>
      </w:r>
      <w:r>
        <w:rPr>
          <w:rFonts w:hint="eastAsia"/>
          <w:color w:val="000000"/>
          <w:sz w:val="32"/>
          <w:szCs w:val="32"/>
          <w:highlight w:val="none"/>
        </w:rPr>
        <w:t xml:space="preserve">第二部分  </w:t>
      </w:r>
      <w:r>
        <w:rPr>
          <w:rFonts w:hint="eastAsia"/>
          <w:bCs w:val="0"/>
          <w:smallCaps/>
          <w:color w:val="000000"/>
          <w:sz w:val="32"/>
          <w:szCs w:val="32"/>
          <w:highlight w:val="none"/>
          <w:lang w:val="en-US" w:eastAsia="zh-CN"/>
        </w:rPr>
        <w:t>采购</w:t>
      </w:r>
      <w:r>
        <w:rPr>
          <w:rFonts w:hint="eastAsia"/>
          <w:bCs w:val="0"/>
          <w:smallCaps/>
          <w:color w:val="000000"/>
          <w:sz w:val="32"/>
          <w:szCs w:val="32"/>
          <w:highlight w:val="none"/>
          <w:lang w:val="en-US" w:eastAsia="zh-CN"/>
        </w:rPr>
        <w:fldChar w:fldCharType="end"/>
      </w:r>
      <w:r>
        <w:rPr>
          <w:rFonts w:hint="eastAsia"/>
          <w:bCs w:val="0"/>
          <w:smallCaps/>
          <w:color w:val="000000"/>
          <w:sz w:val="32"/>
          <w:szCs w:val="32"/>
          <w:highlight w:val="none"/>
          <w:lang w:val="en-US" w:eastAsia="zh-CN"/>
        </w:rPr>
        <w:t>需求..........................................................................</w:t>
      </w:r>
    </w:p>
    <w:p>
      <w:pPr>
        <w:pStyle w:val="15"/>
        <w:keepNext w:val="0"/>
        <w:keepLines w:val="0"/>
        <w:pageBreakBefore w:val="0"/>
        <w:widowControl w:val="0"/>
        <w:tabs>
          <w:tab w:val="right" w:leader="dot" w:pos="9015"/>
        </w:tabs>
        <w:kinsoku/>
        <w:wordWrap/>
        <w:overflowPunct/>
        <w:topLinePunct w:val="0"/>
        <w:autoSpaceDE/>
        <w:autoSpaceDN/>
        <w:bidi w:val="0"/>
        <w:adjustRightInd/>
        <w:snapToGrid/>
        <w:spacing w:line="360" w:lineRule="auto"/>
        <w:textAlignment w:val="auto"/>
        <w:rPr>
          <w:rFonts w:hint="eastAsia" w:eastAsia="宋体"/>
          <w:color w:val="000000"/>
          <w:sz w:val="32"/>
          <w:szCs w:val="32"/>
          <w:highlight w:val="none"/>
          <w:lang w:val="en-US" w:eastAsia="zh-CN"/>
        </w:rPr>
      </w:pPr>
      <w:r>
        <w:fldChar w:fldCharType="begin"/>
      </w:r>
      <w:r>
        <w:instrText xml:space="preserve"> HYPERLINK \l "_Toc29353" </w:instrText>
      </w:r>
      <w:r>
        <w:fldChar w:fldCharType="separate"/>
      </w:r>
      <w:r>
        <w:rPr>
          <w:rFonts w:hint="eastAsia"/>
          <w:color w:val="000000"/>
          <w:sz w:val="32"/>
          <w:szCs w:val="32"/>
          <w:highlight w:val="none"/>
          <w:lang w:eastAsia="zh-CN"/>
        </w:rPr>
        <w:t>第三部分</w:t>
      </w:r>
      <w:r>
        <w:rPr>
          <w:rFonts w:hint="eastAsia"/>
          <w:color w:val="000000"/>
          <w:sz w:val="32"/>
          <w:szCs w:val="32"/>
          <w:highlight w:val="none"/>
          <w:lang w:val="en-US" w:eastAsia="zh-CN"/>
        </w:rPr>
        <w:t xml:space="preserve">  项目清单</w:t>
      </w:r>
      <w:r>
        <w:rPr>
          <w:color w:val="000000"/>
          <w:sz w:val="32"/>
          <w:szCs w:val="32"/>
          <w:highlight w:val="none"/>
        </w:rPr>
        <w:tab/>
      </w:r>
      <w:r>
        <w:rPr>
          <w:rFonts w:hint="eastAsia"/>
          <w:color w:val="000000"/>
          <w:sz w:val="32"/>
          <w:szCs w:val="32"/>
          <w:highlight w:val="none"/>
          <w:lang w:val="en-US" w:eastAsia="zh-CN"/>
        </w:rPr>
        <w:t>1</w:t>
      </w:r>
      <w:r>
        <w:rPr>
          <w:rFonts w:hint="eastAsia"/>
          <w:color w:val="000000"/>
          <w:sz w:val="32"/>
          <w:szCs w:val="32"/>
          <w:highlight w:val="none"/>
          <w:lang w:val="en-US" w:eastAsia="zh-CN"/>
        </w:rPr>
        <w:fldChar w:fldCharType="end"/>
      </w:r>
      <w:r>
        <w:rPr>
          <w:rFonts w:hint="eastAsia"/>
          <w:bCs w:val="0"/>
          <w:smallCaps/>
          <w:color w:val="000000"/>
          <w:sz w:val="32"/>
          <w:szCs w:val="32"/>
          <w:highlight w:val="none"/>
          <w:lang w:val="en-US" w:eastAsia="zh-CN"/>
        </w:rPr>
        <w:t>7</w:t>
      </w:r>
    </w:p>
    <w:p>
      <w:pPr>
        <w:pStyle w:val="15"/>
        <w:keepNext w:val="0"/>
        <w:keepLines w:val="0"/>
        <w:pageBreakBefore w:val="0"/>
        <w:widowControl w:val="0"/>
        <w:tabs>
          <w:tab w:val="right" w:leader="dot" w:pos="9015"/>
        </w:tabs>
        <w:kinsoku/>
        <w:wordWrap/>
        <w:overflowPunct/>
        <w:topLinePunct w:val="0"/>
        <w:autoSpaceDE/>
        <w:autoSpaceDN/>
        <w:bidi w:val="0"/>
        <w:adjustRightInd/>
        <w:snapToGrid/>
        <w:spacing w:line="360" w:lineRule="auto"/>
        <w:textAlignment w:val="auto"/>
        <w:rPr>
          <w:rFonts w:hint="default" w:eastAsia="宋体"/>
          <w:color w:val="000000"/>
          <w:sz w:val="32"/>
          <w:szCs w:val="32"/>
          <w:highlight w:val="none"/>
          <w:lang w:val="en-US" w:eastAsia="zh-CN"/>
        </w:rPr>
      </w:pPr>
      <w:r>
        <w:fldChar w:fldCharType="begin"/>
      </w:r>
      <w:r>
        <w:instrText xml:space="preserve"> HYPERLINK \l "_Toc18512" </w:instrText>
      </w:r>
      <w:r>
        <w:fldChar w:fldCharType="separate"/>
      </w:r>
      <w:r>
        <w:rPr>
          <w:rFonts w:hint="eastAsia"/>
          <w:color w:val="000000"/>
          <w:sz w:val="32"/>
          <w:szCs w:val="32"/>
          <w:highlight w:val="none"/>
        </w:rPr>
        <w:t>第四部分  合同条款及格式（参考）</w:t>
      </w:r>
      <w:r>
        <w:rPr>
          <w:color w:val="000000"/>
          <w:sz w:val="32"/>
          <w:szCs w:val="32"/>
          <w:highlight w:val="none"/>
        </w:rPr>
        <w:tab/>
      </w:r>
      <w:r>
        <w:rPr>
          <w:rFonts w:hint="eastAsia"/>
          <w:color w:val="000000"/>
          <w:sz w:val="32"/>
          <w:szCs w:val="32"/>
          <w:highlight w:val="none"/>
          <w:lang w:val="en-US" w:eastAsia="zh-CN"/>
        </w:rPr>
        <w:t>1</w:t>
      </w:r>
      <w:r>
        <w:rPr>
          <w:rFonts w:hint="eastAsia"/>
          <w:color w:val="000000"/>
          <w:sz w:val="32"/>
          <w:szCs w:val="32"/>
          <w:highlight w:val="none"/>
          <w:lang w:val="en-US" w:eastAsia="zh-CN"/>
        </w:rPr>
        <w:fldChar w:fldCharType="end"/>
      </w:r>
      <w:r>
        <w:rPr>
          <w:rFonts w:hint="eastAsia"/>
          <w:bCs w:val="0"/>
          <w:smallCaps/>
          <w:color w:val="000000"/>
          <w:sz w:val="32"/>
          <w:szCs w:val="32"/>
          <w:highlight w:val="none"/>
          <w:lang w:val="en-US" w:eastAsia="zh-CN"/>
        </w:rPr>
        <w:t>8</w:t>
      </w:r>
    </w:p>
    <w:p>
      <w:pPr>
        <w:pStyle w:val="15"/>
        <w:keepNext w:val="0"/>
        <w:keepLines w:val="0"/>
        <w:pageBreakBefore w:val="0"/>
        <w:widowControl w:val="0"/>
        <w:tabs>
          <w:tab w:val="right" w:leader="dot" w:pos="9015"/>
        </w:tabs>
        <w:kinsoku/>
        <w:wordWrap/>
        <w:overflowPunct/>
        <w:topLinePunct w:val="0"/>
        <w:autoSpaceDE/>
        <w:autoSpaceDN/>
        <w:bidi w:val="0"/>
        <w:adjustRightInd/>
        <w:snapToGrid/>
        <w:spacing w:line="360" w:lineRule="auto"/>
        <w:textAlignment w:val="auto"/>
        <w:rPr>
          <w:rFonts w:hint="eastAsia" w:eastAsia="宋体"/>
          <w:color w:val="000000"/>
          <w:sz w:val="32"/>
          <w:szCs w:val="32"/>
          <w:highlight w:val="none"/>
          <w:lang w:val="en-US" w:eastAsia="zh-CN"/>
        </w:rPr>
      </w:pPr>
      <w:r>
        <w:fldChar w:fldCharType="begin"/>
      </w:r>
      <w:r>
        <w:instrText xml:space="preserve"> HYPERLINK \l "_Toc14678" </w:instrText>
      </w:r>
      <w:r>
        <w:fldChar w:fldCharType="separate"/>
      </w:r>
      <w:r>
        <w:rPr>
          <w:rFonts w:hint="eastAsia"/>
          <w:color w:val="000000"/>
          <w:sz w:val="32"/>
          <w:szCs w:val="32"/>
          <w:highlight w:val="none"/>
        </w:rPr>
        <w:t>第五部分  评审程序、方法和标准</w:t>
      </w:r>
      <w:r>
        <w:rPr>
          <w:color w:val="000000"/>
          <w:sz w:val="32"/>
          <w:szCs w:val="32"/>
          <w:highlight w:val="none"/>
        </w:rPr>
        <w:tab/>
      </w:r>
      <w:r>
        <w:rPr>
          <w:rFonts w:hint="eastAsia"/>
          <w:color w:val="000000"/>
          <w:sz w:val="32"/>
          <w:szCs w:val="32"/>
          <w:highlight w:val="none"/>
          <w:lang w:val="en-US" w:eastAsia="zh-CN"/>
        </w:rPr>
        <w:t>3</w:t>
      </w:r>
      <w:r>
        <w:rPr>
          <w:rFonts w:hint="eastAsia"/>
          <w:color w:val="000000"/>
          <w:sz w:val="32"/>
          <w:szCs w:val="32"/>
          <w:highlight w:val="none"/>
          <w:lang w:val="en-US" w:eastAsia="zh-CN"/>
        </w:rPr>
        <w:fldChar w:fldCharType="end"/>
      </w:r>
      <w:r>
        <w:rPr>
          <w:rFonts w:hint="eastAsia"/>
          <w:bCs w:val="0"/>
          <w:smallCaps/>
          <w:color w:val="000000"/>
          <w:sz w:val="32"/>
          <w:szCs w:val="32"/>
          <w:highlight w:val="none"/>
          <w:lang w:val="en-US" w:eastAsia="zh-CN"/>
        </w:rPr>
        <w:t>3</w:t>
      </w:r>
    </w:p>
    <w:p>
      <w:pPr>
        <w:pStyle w:val="15"/>
        <w:keepNext w:val="0"/>
        <w:keepLines w:val="0"/>
        <w:pageBreakBefore w:val="0"/>
        <w:widowControl w:val="0"/>
        <w:tabs>
          <w:tab w:val="right" w:leader="dot" w:pos="9015"/>
        </w:tabs>
        <w:kinsoku/>
        <w:wordWrap/>
        <w:overflowPunct/>
        <w:topLinePunct w:val="0"/>
        <w:autoSpaceDE/>
        <w:autoSpaceDN/>
        <w:bidi w:val="0"/>
        <w:adjustRightInd/>
        <w:snapToGrid/>
        <w:spacing w:line="360" w:lineRule="auto"/>
        <w:textAlignment w:val="auto"/>
        <w:rPr>
          <w:rFonts w:hint="default" w:eastAsia="宋体"/>
          <w:color w:val="000000"/>
          <w:sz w:val="32"/>
          <w:szCs w:val="32"/>
          <w:highlight w:val="none"/>
          <w:lang w:val="en-US" w:eastAsia="zh-CN"/>
        </w:rPr>
      </w:pPr>
      <w:r>
        <w:fldChar w:fldCharType="begin"/>
      </w:r>
      <w:r>
        <w:instrText xml:space="preserve"> HYPERLINK \l "_Toc10757" </w:instrText>
      </w:r>
      <w:r>
        <w:fldChar w:fldCharType="separate"/>
      </w:r>
      <w:r>
        <w:rPr>
          <w:rFonts w:hint="eastAsia"/>
          <w:color w:val="000000"/>
          <w:sz w:val="32"/>
          <w:szCs w:val="32"/>
          <w:highlight w:val="none"/>
        </w:rPr>
        <w:t>第六部分  响应文件格式</w:t>
      </w:r>
      <w:r>
        <w:rPr>
          <w:color w:val="000000"/>
          <w:sz w:val="32"/>
          <w:szCs w:val="32"/>
          <w:highlight w:val="none"/>
        </w:rPr>
        <w:tab/>
      </w:r>
      <w:r>
        <w:rPr>
          <w:color w:val="000000"/>
          <w:sz w:val="32"/>
          <w:szCs w:val="32"/>
          <w:highlight w:val="none"/>
        </w:rPr>
        <w:fldChar w:fldCharType="end"/>
      </w:r>
      <w:r>
        <w:rPr>
          <w:rFonts w:hint="eastAsia"/>
          <w:bCs w:val="0"/>
          <w:smallCaps/>
          <w:color w:val="000000"/>
          <w:sz w:val="32"/>
          <w:szCs w:val="32"/>
          <w:highlight w:val="none"/>
          <w:lang w:val="en-US" w:eastAsia="zh-CN"/>
        </w:rPr>
        <w:t>43</w:t>
      </w:r>
    </w:p>
    <w:p>
      <w:pPr>
        <w:pStyle w:val="16"/>
        <w:keepNext w:val="0"/>
        <w:keepLines w:val="0"/>
        <w:pageBreakBefore w:val="0"/>
        <w:widowControl w:val="0"/>
        <w:tabs>
          <w:tab w:val="right" w:leader="dot" w:pos="9015"/>
        </w:tabs>
        <w:kinsoku/>
        <w:wordWrap/>
        <w:overflowPunct/>
        <w:topLinePunct w:val="0"/>
        <w:autoSpaceDE/>
        <w:autoSpaceDN/>
        <w:bidi w:val="0"/>
        <w:adjustRightInd/>
        <w:snapToGrid/>
        <w:spacing w:line="360" w:lineRule="auto"/>
        <w:textAlignment w:val="auto"/>
        <w:rPr>
          <w:color w:val="000000"/>
          <w:highlight w:val="none"/>
        </w:rPr>
      </w:pPr>
    </w:p>
    <w:p>
      <w:pPr>
        <w:pStyle w:val="16"/>
        <w:pageBreakBefore w:val="0"/>
        <w:tabs>
          <w:tab w:val="right" w:leader="dot" w:pos="9015"/>
        </w:tabs>
        <w:kinsoku/>
        <w:topLinePunct w:val="0"/>
        <w:bidi w:val="0"/>
        <w:spacing w:line="360" w:lineRule="auto"/>
        <w:rPr>
          <w:rFonts w:hint="eastAsia"/>
          <w:smallCaps w:val="0"/>
          <w:color w:val="000000"/>
          <w:sz w:val="24"/>
          <w:highlight w:val="none"/>
        </w:rPr>
      </w:pPr>
      <w:r>
        <w:rPr>
          <w:bCs/>
          <w:smallCaps w:val="0"/>
          <w:color w:val="000000"/>
          <w:szCs w:val="21"/>
          <w:highlight w:val="none"/>
        </w:rPr>
        <w:fldChar w:fldCharType="end"/>
      </w:r>
    </w:p>
    <w:p>
      <w:pPr>
        <w:pageBreakBefore w:val="0"/>
        <w:kinsoku/>
        <w:topLinePunct w:val="0"/>
        <w:bidi w:val="0"/>
        <w:spacing w:line="360" w:lineRule="auto"/>
        <w:jc w:val="center"/>
        <w:outlineLvl w:val="0"/>
        <w:rPr>
          <w:rFonts w:hint="eastAsia"/>
          <w:b/>
          <w:color w:val="000000"/>
          <w:sz w:val="48"/>
          <w:szCs w:val="48"/>
          <w:highlight w:val="none"/>
        </w:rPr>
        <w:sectPr>
          <w:pgSz w:w="11906" w:h="16838"/>
          <w:pgMar w:top="1247" w:right="1247" w:bottom="1134" w:left="1644" w:header="851" w:footer="850" w:gutter="0"/>
          <w:pgNumType w:fmt="decimal" w:start="0"/>
          <w:cols w:space="708" w:num="1"/>
          <w:titlePg/>
          <w:docGrid w:type="lines" w:linePitch="321" w:charSpace="0"/>
        </w:sectPr>
      </w:pPr>
    </w:p>
    <w:p>
      <w:pPr>
        <w:keepNext w:val="0"/>
        <w:keepLines w:val="0"/>
        <w:pageBreakBefore w:val="0"/>
        <w:kinsoku/>
        <w:overflowPunct/>
        <w:topLinePunct w:val="0"/>
        <w:autoSpaceDE/>
        <w:autoSpaceDN/>
        <w:bidi w:val="0"/>
        <w:adjustRightInd/>
        <w:snapToGrid/>
        <w:spacing w:line="360" w:lineRule="auto"/>
        <w:jc w:val="center"/>
        <w:textAlignment w:val="auto"/>
        <w:outlineLvl w:val="0"/>
        <w:rPr>
          <w:b/>
          <w:color w:val="000000"/>
          <w:sz w:val="48"/>
          <w:szCs w:val="48"/>
          <w:highlight w:val="none"/>
        </w:rPr>
      </w:pPr>
      <w:bookmarkStart w:id="0" w:name="_Toc12854"/>
      <w:r>
        <w:rPr>
          <w:rFonts w:hint="eastAsia"/>
          <w:b/>
          <w:color w:val="000000"/>
          <w:sz w:val="48"/>
          <w:szCs w:val="48"/>
          <w:highlight w:val="none"/>
        </w:rPr>
        <w:t>第一部分</w:t>
      </w:r>
      <w:r>
        <w:rPr>
          <w:b/>
          <w:color w:val="000000"/>
          <w:sz w:val="48"/>
          <w:szCs w:val="48"/>
          <w:highlight w:val="none"/>
        </w:rPr>
        <w:t xml:space="preserve">  </w:t>
      </w:r>
      <w:r>
        <w:rPr>
          <w:rFonts w:hint="eastAsia"/>
          <w:b/>
          <w:color w:val="000000"/>
          <w:sz w:val="48"/>
          <w:szCs w:val="48"/>
          <w:highlight w:val="none"/>
          <w:lang w:eastAsia="zh-CN"/>
        </w:rPr>
        <w:t>磋商</w:t>
      </w:r>
      <w:r>
        <w:rPr>
          <w:rFonts w:hint="eastAsia"/>
          <w:b/>
          <w:color w:val="000000"/>
          <w:sz w:val="48"/>
          <w:szCs w:val="48"/>
          <w:highlight w:val="none"/>
        </w:rPr>
        <w:t>公告</w:t>
      </w:r>
      <w:bookmarkEnd w:id="0"/>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cs="宋体"/>
          <w:b w:val="0"/>
          <w:bCs w:val="0"/>
          <w:color w:val="000000"/>
          <w:sz w:val="24"/>
          <w:szCs w:val="24"/>
          <w:highlight w:val="none"/>
          <w:shd w:val="clear" w:color="auto" w:fill="FFFFFF"/>
        </w:rPr>
      </w:pPr>
      <w:r>
        <w:rPr>
          <w:rFonts w:hint="eastAsia"/>
          <w:b w:val="0"/>
          <w:bCs w:val="0"/>
          <w:color w:val="000000"/>
          <w:sz w:val="24"/>
          <w:szCs w:val="24"/>
          <w:highlight w:val="none"/>
          <w:u w:val="single"/>
          <w:lang w:eastAsia="zh-CN"/>
        </w:rPr>
        <w:t>海南</w:t>
      </w:r>
      <w:r>
        <w:rPr>
          <w:rFonts w:hint="eastAsia"/>
          <w:b w:val="0"/>
          <w:bCs w:val="0"/>
          <w:color w:val="000000"/>
          <w:sz w:val="24"/>
          <w:szCs w:val="24"/>
          <w:highlight w:val="none"/>
          <w:u w:val="single"/>
          <w:lang w:val="en-US" w:eastAsia="zh-CN"/>
        </w:rPr>
        <w:t>珑宸</w:t>
      </w:r>
      <w:r>
        <w:rPr>
          <w:rFonts w:hint="eastAsia"/>
          <w:b w:val="0"/>
          <w:bCs w:val="0"/>
          <w:color w:val="000000"/>
          <w:sz w:val="24"/>
          <w:szCs w:val="24"/>
          <w:highlight w:val="none"/>
          <w:u w:val="single"/>
          <w:lang w:eastAsia="zh-CN"/>
        </w:rPr>
        <w:t>项目管理有限公司</w:t>
      </w:r>
      <w:r>
        <w:rPr>
          <w:rFonts w:hint="eastAsia"/>
          <w:b w:val="0"/>
          <w:bCs w:val="0"/>
          <w:color w:val="000000"/>
          <w:sz w:val="24"/>
          <w:szCs w:val="24"/>
          <w:highlight w:val="none"/>
        </w:rPr>
        <w:t>受</w:t>
      </w:r>
      <w:r>
        <w:rPr>
          <w:rFonts w:hint="eastAsia" w:ascii="宋体" w:hAnsi="宋体" w:cs="宋体"/>
          <w:b w:val="0"/>
          <w:bCs w:val="0"/>
          <w:color w:val="000000"/>
          <w:sz w:val="24"/>
          <w:szCs w:val="24"/>
          <w:u w:val="single"/>
          <w:lang w:val="en-US" w:eastAsia="zh-CN"/>
        </w:rPr>
        <w:t>白沙黎族自治县教育局</w:t>
      </w:r>
      <w:r>
        <w:rPr>
          <w:rFonts w:hint="eastAsia"/>
          <w:b w:val="0"/>
          <w:bCs w:val="0"/>
          <w:color w:val="000000"/>
          <w:sz w:val="24"/>
          <w:szCs w:val="24"/>
          <w:highlight w:val="none"/>
        </w:rPr>
        <w:t>委托，对</w:t>
      </w:r>
      <w:r>
        <w:rPr>
          <w:rFonts w:hint="eastAsia"/>
          <w:b w:val="0"/>
          <w:bCs w:val="0"/>
          <w:color w:val="000000"/>
          <w:sz w:val="24"/>
          <w:szCs w:val="24"/>
          <w:u w:val="single"/>
          <w:lang w:val="en-US" w:eastAsia="zh-CN"/>
        </w:rPr>
        <w:t>2023年白沙县学前教育普及普惠项目-东片区校舍维修、绿化等附属工程</w:t>
      </w:r>
      <w:r>
        <w:rPr>
          <w:rFonts w:hint="eastAsia"/>
          <w:b w:val="0"/>
          <w:bCs w:val="0"/>
          <w:color w:val="000000"/>
          <w:sz w:val="24"/>
          <w:szCs w:val="24"/>
          <w:highlight w:val="none"/>
        </w:rPr>
        <w:t>进行竞争性磋商</w:t>
      </w:r>
      <w:r>
        <w:rPr>
          <w:rFonts w:hint="eastAsia"/>
          <w:b w:val="0"/>
          <w:bCs w:val="0"/>
          <w:color w:val="000000"/>
          <w:sz w:val="24"/>
          <w:szCs w:val="24"/>
          <w:highlight w:val="none"/>
          <w:lang w:eastAsia="zh-CN"/>
        </w:rPr>
        <w:t>采购活动</w:t>
      </w:r>
      <w:r>
        <w:rPr>
          <w:rFonts w:hint="eastAsia"/>
          <w:b w:val="0"/>
          <w:bCs w:val="0"/>
          <w:color w:val="000000"/>
          <w:sz w:val="24"/>
          <w:szCs w:val="24"/>
          <w:highlight w:val="none"/>
        </w:rPr>
        <w:t>。现邀请国内符合条件的</w:t>
      </w:r>
      <w:r>
        <w:rPr>
          <w:rFonts w:hint="eastAsia"/>
          <w:b w:val="0"/>
          <w:bCs w:val="0"/>
          <w:color w:val="000000"/>
          <w:sz w:val="24"/>
          <w:szCs w:val="24"/>
          <w:highlight w:val="none"/>
          <w:lang w:eastAsia="zh-CN"/>
        </w:rPr>
        <w:t>供应商</w:t>
      </w:r>
      <w:r>
        <w:rPr>
          <w:rFonts w:hint="eastAsia" w:ascii="宋体" w:hAnsi="宋体" w:cs="宋体"/>
          <w:b w:val="0"/>
          <w:bCs w:val="0"/>
          <w:color w:val="000000"/>
          <w:sz w:val="24"/>
          <w:szCs w:val="24"/>
          <w:highlight w:val="none"/>
          <w:shd w:val="clear" w:color="auto" w:fill="FFFFFF"/>
        </w:rPr>
        <w:t>来参加密封投标。</w:t>
      </w:r>
    </w:p>
    <w:p>
      <w:pPr>
        <w:pageBreakBefore w:val="0"/>
        <w:widowControl/>
        <w:shd w:val="clear" w:color="auto" w:fill="FFFFFF"/>
        <w:kinsoku/>
        <w:wordWrap w:val="0"/>
        <w:topLinePunct w:val="0"/>
        <w:bidi w:val="0"/>
        <w:spacing w:line="360" w:lineRule="auto"/>
        <w:jc w:val="left"/>
        <w:rPr>
          <w:rFonts w:ascii="宋体" w:cs="宋体"/>
          <w:b/>
          <w:color w:val="000000"/>
          <w:sz w:val="24"/>
          <w:szCs w:val="24"/>
          <w:highlight w:val="none"/>
        </w:rPr>
      </w:pPr>
      <w:r>
        <w:rPr>
          <w:rStyle w:val="21"/>
          <w:rFonts w:hint="eastAsia" w:ascii="宋体" w:hAnsi="宋体" w:cs="宋体"/>
          <w:color w:val="000000"/>
          <w:sz w:val="24"/>
          <w:szCs w:val="24"/>
          <w:highlight w:val="none"/>
          <w:shd w:val="clear" w:color="auto" w:fill="FFFFFF"/>
        </w:rPr>
        <w:t>一、</w:t>
      </w:r>
      <w:r>
        <w:rPr>
          <w:rStyle w:val="21"/>
          <w:rFonts w:ascii="宋体" w:hAnsi="宋体" w:cs="宋体"/>
          <w:color w:val="000000"/>
          <w:sz w:val="24"/>
          <w:szCs w:val="24"/>
          <w:highlight w:val="none"/>
          <w:shd w:val="clear" w:color="auto" w:fill="FFFFFF"/>
        </w:rPr>
        <w:t xml:space="preserve"> </w:t>
      </w:r>
      <w:r>
        <w:rPr>
          <w:rStyle w:val="21"/>
          <w:rFonts w:hint="eastAsia" w:ascii="宋体" w:hAnsi="宋体" w:cs="宋体"/>
          <w:color w:val="000000"/>
          <w:sz w:val="24"/>
          <w:szCs w:val="24"/>
          <w:highlight w:val="none"/>
          <w:shd w:val="clear" w:color="auto" w:fill="FFFFFF"/>
        </w:rPr>
        <w:t>招标项目及范围：</w:t>
      </w:r>
    </w:p>
    <w:p>
      <w:pPr>
        <w:keepNext w:val="0"/>
        <w:keepLines w:val="0"/>
        <w:pageBreakBefore w:val="0"/>
        <w:widowControl w:val="0"/>
        <w:kinsoku/>
        <w:wordWrap/>
        <w:overflowPunct/>
        <w:topLinePunct w:val="0"/>
        <w:autoSpaceDE/>
        <w:autoSpaceDN/>
        <w:bidi w:val="0"/>
        <w:adjustRightInd/>
        <w:snapToGrid/>
        <w:spacing w:line="360" w:lineRule="auto"/>
        <w:ind w:left="57" w:leftChars="27" w:right="-483" w:rightChars="-230" w:firstLine="0" w:firstLineChars="0"/>
        <w:jc w:val="left"/>
        <w:textAlignment w:val="auto"/>
        <w:rPr>
          <w:rFonts w:hint="eastAsia" w:ascii="宋体" w:hAnsi="宋体" w:eastAsia="宋体" w:cs="宋体"/>
          <w:color w:val="000000"/>
          <w:sz w:val="24"/>
          <w:szCs w:val="24"/>
          <w:highlight w:val="none"/>
          <w:lang w:eastAsia="zh-CN"/>
        </w:rPr>
      </w:pPr>
      <w:r>
        <w:rPr>
          <w:rFonts w:hint="eastAsia" w:ascii="宋体" w:hAnsi="宋体" w:cs="宋体"/>
          <w:color w:val="000000"/>
          <w:sz w:val="24"/>
          <w:szCs w:val="24"/>
          <w:highlight w:val="none"/>
        </w:rPr>
        <w:t>1、项目名称：</w:t>
      </w:r>
      <w:r>
        <w:rPr>
          <w:rFonts w:hint="eastAsia"/>
          <w:b w:val="0"/>
          <w:bCs w:val="0"/>
          <w:color w:val="000000"/>
          <w:sz w:val="24"/>
          <w:szCs w:val="24"/>
          <w:u w:val="single"/>
          <w:lang w:val="en-US" w:eastAsia="zh-CN"/>
        </w:rPr>
        <w:t>2023年白沙县学前教育普及普惠项目-东片区校舍维修、绿化等附属工程</w:t>
      </w:r>
      <w:r>
        <w:rPr>
          <w:rFonts w:hint="eastAsia" w:ascii="宋体" w:hAnsi="宋体" w:cs="宋体"/>
          <w:color w:val="000000"/>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000000"/>
          <w:sz w:val="24"/>
          <w:szCs w:val="24"/>
          <w:highlight w:val="none"/>
          <w:lang w:eastAsia="zh-CN"/>
        </w:rPr>
      </w:pPr>
      <w:r>
        <w:rPr>
          <w:rFonts w:hint="eastAsia" w:ascii="宋体" w:hAnsi="宋体" w:cs="宋体"/>
          <w:color w:val="000000"/>
          <w:sz w:val="24"/>
          <w:szCs w:val="24"/>
          <w:highlight w:val="none"/>
        </w:rPr>
        <w:t>2、项目编号：</w:t>
      </w:r>
      <w:r>
        <w:rPr>
          <w:rFonts w:hint="eastAsia" w:ascii="宋体" w:hAnsi="宋体" w:eastAsia="宋体" w:cs="宋体"/>
          <w:b w:val="0"/>
          <w:bCs/>
          <w:color w:val="000000"/>
          <w:sz w:val="24"/>
          <w:szCs w:val="24"/>
          <w:lang w:val="en-US" w:eastAsia="zh-CN"/>
        </w:rPr>
        <w:t>HNLC-2023[12]</w:t>
      </w:r>
      <w:r>
        <w:rPr>
          <w:rFonts w:hint="eastAsia" w:ascii="宋体" w:hAnsi="宋体" w:cs="宋体"/>
          <w:b w:val="0"/>
          <w:bCs/>
          <w:color w:val="00000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57" w:leftChars="27" w:right="-483" w:rightChars="-230" w:firstLine="0" w:firstLineChars="0"/>
        <w:jc w:val="left"/>
        <w:textAlignment w:val="auto"/>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3、项目地点：</w:t>
      </w:r>
      <w:r>
        <w:rPr>
          <w:rFonts w:hint="eastAsia" w:ascii="宋体" w:hAnsi="宋体" w:cs="宋体"/>
          <w:color w:val="000000"/>
          <w:sz w:val="24"/>
          <w:szCs w:val="24"/>
          <w:highlight w:val="none"/>
          <w:u w:val="single"/>
          <w:lang w:val="en-US" w:eastAsia="zh-CN"/>
        </w:rPr>
        <w:t>白沙县东片区</w:t>
      </w:r>
      <w:r>
        <w:rPr>
          <w:rFonts w:hint="eastAsia" w:ascii="宋体" w:hAnsi="宋体" w:cs="宋体"/>
          <w:color w:val="000000"/>
          <w:sz w:val="24"/>
          <w:szCs w:val="24"/>
          <w:highlight w:val="none"/>
          <w:lang w:eastAsia="zh-CN"/>
        </w:rPr>
        <w:t>；</w:t>
      </w:r>
    </w:p>
    <w:p>
      <w:pPr>
        <w:keepNext w:val="0"/>
        <w:keepLines w:val="0"/>
        <w:pageBreakBefore w:val="0"/>
        <w:widowControl/>
        <w:suppressLineNumbers w:val="0"/>
        <w:kinsoku/>
        <w:topLinePunct w:val="0"/>
        <w:bidi w:val="0"/>
        <w:spacing w:line="360" w:lineRule="auto"/>
        <w:jc w:val="left"/>
        <w:rPr>
          <w:rFonts w:hint="eastAsia" w:ascii="宋体" w:hAnsi="宋体" w:eastAsia="宋体" w:cs="宋体"/>
          <w:color w:val="000000"/>
          <w:sz w:val="24"/>
          <w:szCs w:val="24"/>
          <w:highlight w:val="none"/>
          <w:u w:val="single"/>
          <w:lang w:val="en-US" w:eastAsia="zh-CN"/>
        </w:rPr>
      </w:pPr>
      <w:r>
        <w:rPr>
          <w:rFonts w:hint="eastAsia" w:ascii="宋体" w:hAnsi="宋体" w:eastAsia="宋体" w:cs="宋体"/>
          <w:color w:val="000000"/>
          <w:sz w:val="24"/>
          <w:szCs w:val="24"/>
          <w:highlight w:val="none"/>
          <w:u w:val="none"/>
          <w:lang w:val="en-US" w:eastAsia="zh-CN"/>
        </w:rPr>
        <w:t>4、项目预算金额：</w:t>
      </w:r>
      <w:r>
        <w:rPr>
          <w:rFonts w:hint="eastAsia" w:ascii="宋体" w:hAnsi="宋体" w:eastAsia="宋体" w:cs="宋体"/>
          <w:color w:val="000000"/>
          <w:sz w:val="24"/>
          <w:szCs w:val="24"/>
          <w:highlight w:val="none"/>
          <w:u w:val="single"/>
          <w:lang w:val="en-US" w:eastAsia="zh-CN"/>
        </w:rPr>
        <w:t>￥2175272.2元，其中工程类（A）包最高限价为：￥1525010.86；工程类B包最高限价最高限价为：￥650261.31元。超出采购预算金额（最高限价）的投标，按无效投标处理；</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、施工工期：</w:t>
      </w:r>
      <w:r>
        <w:rPr>
          <w:rFonts w:hint="eastAsia" w:ascii="宋体" w:hAnsi="宋体" w:cs="宋体"/>
          <w:color w:val="auto"/>
          <w:sz w:val="24"/>
          <w:szCs w:val="24"/>
          <w:highlight w:val="none"/>
          <w:u w:val="single"/>
          <w:lang w:val="en-US" w:eastAsia="zh-CN"/>
        </w:rPr>
        <w:t>90日历天</w:t>
      </w:r>
      <w:r>
        <w:rPr>
          <w:rFonts w:hint="eastAsia" w:ascii="宋体" w:hAnsi="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6、招标范围：</w:t>
      </w:r>
      <w:r>
        <w:rPr>
          <w:rFonts w:hint="eastAsia"/>
          <w:b w:val="0"/>
          <w:bCs w:val="0"/>
          <w:color w:val="000000"/>
          <w:sz w:val="24"/>
          <w:szCs w:val="24"/>
          <w:u w:val="single"/>
          <w:lang w:val="en-US" w:eastAsia="zh-CN"/>
        </w:rPr>
        <w:t>2023年白沙县学前教育普及普惠项目-东片区校舍维修、绿化等附属工程</w:t>
      </w:r>
      <w:r>
        <w:rPr>
          <w:rFonts w:hint="eastAsia" w:ascii="宋体" w:hAnsi="宋体" w:cs="宋体"/>
          <w:color w:val="000000"/>
          <w:sz w:val="24"/>
          <w:szCs w:val="24"/>
          <w:highlight w:val="none"/>
          <w:u w:val="single"/>
          <w:lang w:eastAsia="zh-CN"/>
        </w:rPr>
        <w:t>（具体以工程量清单及施工图为准）</w:t>
      </w:r>
      <w:r>
        <w:rPr>
          <w:rFonts w:hint="eastAsia" w:ascii="宋体" w:hAnsi="宋体" w:cs="宋体"/>
          <w:color w:val="00000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default" w:ascii="宋体" w:hAnsi="宋体" w:eastAsia="宋体" w:cs="宋体"/>
          <w:b w:val="0"/>
          <w:bCs w:val="0"/>
          <w:color w:val="000000"/>
          <w:kern w:val="2"/>
          <w:sz w:val="24"/>
          <w:szCs w:val="24"/>
          <w:highlight w:val="none"/>
          <w:lang w:val="en-US" w:eastAsia="zh-CN" w:bidi="ar-SA"/>
        </w:rPr>
      </w:pPr>
      <w:r>
        <w:rPr>
          <w:rFonts w:hint="eastAsia" w:ascii="宋体" w:hAnsi="宋体" w:eastAsia="宋体" w:cs="宋体"/>
          <w:b w:val="0"/>
          <w:bCs w:val="0"/>
          <w:color w:val="000000"/>
          <w:kern w:val="2"/>
          <w:sz w:val="24"/>
          <w:szCs w:val="24"/>
          <w:highlight w:val="none"/>
          <w:lang w:val="en-US" w:eastAsia="zh-CN" w:bidi="ar-SA"/>
        </w:rPr>
        <w:t>7</w:t>
      </w:r>
      <w:r>
        <w:rPr>
          <w:rFonts w:hint="eastAsia" w:ascii="宋体" w:hAnsi="宋体" w:cs="宋体"/>
          <w:b w:val="0"/>
          <w:bCs w:val="0"/>
          <w:color w:val="000000"/>
          <w:kern w:val="2"/>
          <w:sz w:val="24"/>
          <w:szCs w:val="24"/>
          <w:highlight w:val="none"/>
          <w:lang w:val="en-US" w:eastAsia="zh-CN" w:bidi="ar-SA"/>
        </w:rPr>
        <w:t>、工程质量要求：</w:t>
      </w:r>
      <w:r>
        <w:rPr>
          <w:rFonts w:hint="eastAsia" w:ascii="宋体" w:hAnsi="宋体" w:cs="宋体"/>
          <w:b w:val="0"/>
          <w:bCs w:val="0"/>
          <w:color w:val="000000"/>
          <w:kern w:val="2"/>
          <w:sz w:val="24"/>
          <w:szCs w:val="24"/>
          <w:highlight w:val="none"/>
          <w:u w:val="single"/>
          <w:lang w:val="en-US" w:eastAsia="zh-CN" w:bidi="ar-SA"/>
        </w:rPr>
        <w:t>符合现行国家有关验收规范和标准的要求合格</w:t>
      </w:r>
      <w:r>
        <w:rPr>
          <w:rFonts w:hint="eastAsia" w:ascii="宋体" w:hAnsi="宋体" w:cs="宋体"/>
          <w:b w:val="0"/>
          <w:bCs w:val="0"/>
          <w:color w:val="000000"/>
          <w:kern w:val="2"/>
          <w:sz w:val="24"/>
          <w:szCs w:val="24"/>
          <w:highlight w:val="none"/>
          <w:lang w:val="en-US" w:eastAsia="zh-CN" w:bidi="ar-SA"/>
        </w:rPr>
        <w:t>。</w:t>
      </w:r>
    </w:p>
    <w:p>
      <w:pPr>
        <w:pStyle w:val="17"/>
        <w:pageBreakBefore w:val="0"/>
        <w:widowControl/>
        <w:kinsoku/>
        <w:wordWrap w:val="0"/>
        <w:topLinePunct w:val="0"/>
        <w:bidi w:val="0"/>
        <w:spacing w:line="360" w:lineRule="auto"/>
        <w:rPr>
          <w:rStyle w:val="21"/>
          <w:rFonts w:hint="eastAsia" w:ascii="宋体" w:hAnsi="宋体" w:cs="宋体"/>
          <w:color w:val="auto"/>
          <w:highlight w:val="none"/>
          <w:shd w:val="clear" w:color="auto" w:fill="FFFFFF"/>
        </w:rPr>
      </w:pPr>
      <w:r>
        <w:rPr>
          <w:rStyle w:val="21"/>
          <w:rFonts w:hint="eastAsia" w:ascii="宋体" w:hAnsi="宋体" w:cs="宋体"/>
          <w:color w:val="000000"/>
          <w:highlight w:val="none"/>
          <w:shd w:val="clear" w:color="auto" w:fill="FFFFFF"/>
        </w:rPr>
        <w:t>二、</w:t>
      </w:r>
      <w:r>
        <w:rPr>
          <w:rStyle w:val="21"/>
          <w:rFonts w:hint="eastAsia" w:ascii="宋体" w:hAnsi="宋体" w:cs="宋体"/>
          <w:color w:val="000000"/>
          <w:highlight w:val="none"/>
          <w:shd w:val="clear" w:color="auto" w:fill="FFFFFF"/>
          <w:lang w:eastAsia="zh-CN"/>
        </w:rPr>
        <w:t>供应商</w:t>
      </w:r>
      <w:r>
        <w:rPr>
          <w:rStyle w:val="21"/>
          <w:rFonts w:hint="eastAsia" w:ascii="宋体" w:hAnsi="宋体" w:cs="宋体"/>
          <w:color w:val="000000"/>
          <w:highlight w:val="none"/>
          <w:shd w:val="clear" w:color="auto" w:fill="FFFFFF"/>
        </w:rPr>
        <w:t>资格要求</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1、符合《中华人民共和国政府采购法》第二十二条的规定。</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highlight w:val="none"/>
          <w:lang w:val="en-US" w:eastAsia="zh-CN"/>
        </w:rPr>
        <w:t>本次招标要求投标人须具备独立法人资格，具有履行合同所必需的设备和专业技术能力：并具备建设主管部门核发的建筑工程施工总承包叁级（含）以上资质</w:t>
      </w:r>
      <w:r>
        <w:rPr>
          <w:rFonts w:hint="eastAsia" w:ascii="宋体" w:hAnsi="宋体" w:eastAsia="宋体" w:cs="宋体"/>
          <w:color w:val="auto"/>
          <w:sz w:val="24"/>
          <w:lang w:val="en-US" w:eastAsia="zh-CN"/>
        </w:rPr>
        <w:t>或</w:t>
      </w:r>
      <w:r>
        <w:rPr>
          <w:rFonts w:hint="eastAsia" w:ascii="宋体" w:hAnsi="宋体" w:cs="宋体"/>
          <w:color w:val="auto"/>
          <w:sz w:val="24"/>
          <w:highlight w:val="none"/>
          <w:lang w:val="en-US" w:eastAsia="zh-CN"/>
        </w:rPr>
        <w:t>根据《住房和城乡建设部关于印发建设工程企业资质管理制度改革方案的通知（【建市〔2020〕94号】）换发新证取得相应的资质并具有有效的安全生产许可证，且在本项目中拟派的项目经理须具备在本单位注册的建筑工程专业贰级及以上注册建造师执业资格，要求未担任其他在施建设工程项目的项目负责人并在其他人员等方面具有相应的施工能力（提供相应</w:t>
      </w:r>
      <w:r>
        <w:rPr>
          <w:rFonts w:hint="eastAsia" w:ascii="宋体" w:hAnsi="宋体" w:eastAsia="宋体" w:cs="宋体"/>
          <w:color w:val="auto"/>
          <w:sz w:val="24"/>
          <w:highlight w:val="none"/>
          <w:lang w:val="en-GB" w:eastAsia="zh-CN"/>
        </w:rPr>
        <w:t>证明并加盖公章</w:t>
      </w:r>
      <w:r>
        <w:rPr>
          <w:rFonts w:hint="eastAsia" w:ascii="宋体" w:hAnsi="宋体" w:cs="宋体"/>
          <w:color w:val="auto"/>
          <w:sz w:val="24"/>
          <w:highlight w:val="none"/>
          <w:lang w:val="en-US" w:eastAsia="zh-CN"/>
        </w:rPr>
        <w:t>）</w:t>
      </w:r>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auto"/>
          <w:sz w:val="24"/>
          <w:highlight w:val="none"/>
          <w:lang w:val="en-GB" w:eastAsia="zh-CN"/>
        </w:rPr>
      </w:pPr>
      <w:r>
        <w:rPr>
          <w:rFonts w:hint="eastAsia" w:ascii="宋体" w:hAnsi="宋体" w:eastAsia="宋体" w:cs="宋体"/>
          <w:color w:val="auto"/>
          <w:sz w:val="24"/>
          <w:highlight w:val="none"/>
          <w:lang w:val="en-GB" w:eastAsia="zh-CN"/>
        </w:rPr>
        <w:t>3.具有良好的商业信誉和健全的财务会计制度（提供202</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lang w:val="en-GB" w:eastAsia="zh-CN"/>
        </w:rPr>
        <w:t>年会计师事务所出具的财务审计报告或202</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lang w:val="en-GB" w:eastAsia="zh-CN"/>
        </w:rPr>
        <w:t>年</w:t>
      </w:r>
      <w:r>
        <w:rPr>
          <w:rFonts w:hint="eastAsia" w:ascii="宋体" w:hAnsi="宋体" w:eastAsia="宋体" w:cs="宋体"/>
          <w:color w:val="auto"/>
          <w:sz w:val="24"/>
          <w:highlight w:val="none"/>
          <w:lang w:val="en-US" w:eastAsia="zh-CN"/>
        </w:rPr>
        <w:t>0</w:t>
      </w:r>
      <w:r>
        <w:rPr>
          <w:rFonts w:hint="eastAsia" w:ascii="宋体" w:hAnsi="宋体" w:eastAsia="宋体" w:cs="宋体"/>
          <w:color w:val="auto"/>
          <w:sz w:val="24"/>
          <w:highlight w:val="none"/>
          <w:lang w:val="en-GB" w:eastAsia="zh-CN"/>
        </w:rPr>
        <w:t>1月至今任意一个</w:t>
      </w:r>
      <w:r>
        <w:rPr>
          <w:rFonts w:hint="eastAsia" w:ascii="宋体" w:hAnsi="宋体" w:eastAsia="宋体" w:cs="宋体"/>
          <w:color w:val="auto"/>
          <w:sz w:val="24"/>
          <w:highlight w:val="none"/>
          <w:lang w:val="en-US" w:eastAsia="zh-CN"/>
        </w:rPr>
        <w:t>季度</w:t>
      </w:r>
      <w:r>
        <w:rPr>
          <w:rFonts w:hint="eastAsia" w:ascii="宋体" w:hAnsi="宋体" w:eastAsia="宋体" w:cs="宋体"/>
          <w:color w:val="auto"/>
          <w:sz w:val="24"/>
          <w:highlight w:val="none"/>
          <w:lang w:val="en-GB" w:eastAsia="zh-CN"/>
        </w:rPr>
        <w:t>的财务报表（需包含资产负债表、利润表、现金流量表）并加盖公章）；</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auto"/>
          <w:sz w:val="24"/>
          <w:highlight w:val="none"/>
          <w:lang w:val="en-GB" w:eastAsia="zh-CN"/>
        </w:rPr>
      </w:pPr>
      <w:r>
        <w:rPr>
          <w:rFonts w:hint="eastAsia" w:ascii="宋体" w:hAnsi="宋体" w:eastAsia="宋体" w:cs="宋体"/>
          <w:color w:val="auto"/>
          <w:sz w:val="24"/>
          <w:highlight w:val="none"/>
          <w:lang w:val="en-GB" w:eastAsia="zh-CN"/>
        </w:rPr>
        <w:t>4.具有依法缴纳税收及社会保障资金的良好记录（提供2022年至今任意</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lang w:val="en-GB" w:eastAsia="zh-CN"/>
        </w:rPr>
        <w:t>个月的缴纳税收及社保缴费记录证明并加盖公章）</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cs="宋体"/>
          <w:color w:val="auto"/>
          <w:sz w:val="24"/>
          <w:highlight w:val="none"/>
          <w:lang w:val="en-GB"/>
        </w:rPr>
      </w:pPr>
      <w:r>
        <w:rPr>
          <w:rFonts w:hint="eastAsia" w:ascii="宋体" w:hAnsi="宋体" w:cs="宋体"/>
          <w:color w:val="auto"/>
          <w:sz w:val="24"/>
          <w:highlight w:val="none"/>
          <w:lang w:val="en-US" w:eastAsia="zh-CN"/>
        </w:rPr>
        <w:t>5</w:t>
      </w:r>
      <w:r>
        <w:rPr>
          <w:rFonts w:hint="eastAsia" w:ascii="宋体" w:hAnsi="宋体" w:cs="宋体"/>
          <w:color w:val="auto"/>
          <w:sz w:val="24"/>
          <w:highlight w:val="none"/>
          <w:lang w:val="en-GB" w:eastAsia="zh-CN"/>
        </w:rPr>
        <w:t>、</w:t>
      </w:r>
      <w:r>
        <w:rPr>
          <w:rFonts w:hint="eastAsia" w:ascii="宋体" w:hAnsi="宋体" w:cs="宋体"/>
          <w:color w:val="auto"/>
          <w:sz w:val="24"/>
          <w:highlight w:val="none"/>
          <w:lang w:val="en-GB"/>
        </w:rPr>
        <w:t>参加政府采购活动前三年内</w:t>
      </w:r>
      <w:r>
        <w:rPr>
          <w:rFonts w:hint="eastAsia" w:ascii="宋体" w:hAnsi="宋体" w:cs="宋体"/>
          <w:color w:val="auto"/>
          <w:sz w:val="24"/>
          <w:highlight w:val="none"/>
          <w:lang w:val="en-GB" w:eastAsia="zh-CN"/>
        </w:rPr>
        <w:t>（成立时间不足三年的从成立之日算起）</w:t>
      </w:r>
      <w:r>
        <w:rPr>
          <w:rFonts w:hint="eastAsia" w:ascii="宋体" w:hAnsi="宋体" w:cs="宋体"/>
          <w:color w:val="auto"/>
          <w:sz w:val="24"/>
          <w:highlight w:val="none"/>
          <w:lang w:val="en-GB"/>
        </w:rPr>
        <w:t>，在经营活动中没有重大违法记录（请提供承诺函</w:t>
      </w:r>
      <w:r>
        <w:rPr>
          <w:rFonts w:hint="eastAsia" w:ascii="宋体" w:hAnsi="宋体" w:cs="宋体"/>
          <w:color w:val="auto"/>
          <w:sz w:val="24"/>
          <w:highlight w:val="none"/>
          <w:lang w:val="en-GB" w:eastAsia="zh-CN"/>
        </w:rPr>
        <w:t>并</w:t>
      </w:r>
      <w:r>
        <w:rPr>
          <w:rFonts w:hint="eastAsia" w:ascii="宋体" w:hAnsi="宋体" w:cs="宋体"/>
          <w:color w:val="auto"/>
          <w:sz w:val="24"/>
          <w:highlight w:val="none"/>
          <w:lang w:val="en-GB"/>
        </w:rPr>
        <w:t>加盖本单位公章）；</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auto"/>
          <w:sz w:val="24"/>
          <w:highlight w:val="none"/>
          <w:lang w:val="en-GB" w:eastAsia="zh-CN"/>
        </w:rPr>
      </w:pPr>
      <w:r>
        <w:rPr>
          <w:rFonts w:hint="eastAsia" w:ascii="宋体" w:hAnsi="宋体" w:cs="宋体"/>
          <w:color w:val="auto"/>
          <w:sz w:val="24"/>
          <w:highlight w:val="none"/>
          <w:lang w:val="en-US" w:eastAsia="zh-CN"/>
        </w:rPr>
        <w:t>6</w:t>
      </w:r>
      <w:r>
        <w:rPr>
          <w:rFonts w:hint="eastAsia" w:ascii="宋体" w:hAnsi="宋体" w:cs="宋体"/>
          <w:color w:val="auto"/>
          <w:sz w:val="24"/>
          <w:highlight w:val="none"/>
          <w:lang w:val="en-GB" w:eastAsia="zh-CN"/>
        </w:rPr>
        <w:t>、本项目投标供应商必须为未被列入“信用中国”网站（www.creditchina.gov.cn）的失信被执行人、</w:t>
      </w:r>
      <w:r>
        <w:rPr>
          <w:rFonts w:hint="eastAsia" w:ascii="宋体" w:hAnsi="宋体" w:cs="宋体"/>
          <w:color w:val="auto"/>
          <w:sz w:val="24"/>
          <w:highlight w:val="none"/>
          <w:lang w:val="en-US" w:eastAsia="zh-CN"/>
        </w:rPr>
        <w:t>重大税收违法失信主体</w:t>
      </w:r>
      <w:r>
        <w:rPr>
          <w:rFonts w:hint="eastAsia" w:ascii="宋体" w:hAnsi="宋体" w:cs="宋体"/>
          <w:color w:val="auto"/>
          <w:sz w:val="24"/>
          <w:highlight w:val="none"/>
          <w:lang w:val="en-GB" w:eastAsia="zh-CN"/>
        </w:rPr>
        <w:t>、政府采购</w:t>
      </w:r>
      <w:r>
        <w:rPr>
          <w:rFonts w:hint="eastAsia" w:ascii="宋体" w:hAnsi="宋体" w:cs="宋体"/>
          <w:color w:val="auto"/>
          <w:sz w:val="24"/>
          <w:highlight w:val="none"/>
          <w:lang w:val="en-US" w:eastAsia="zh-CN"/>
        </w:rPr>
        <w:t>严重违法失信行为记录名单</w:t>
      </w:r>
      <w:r>
        <w:rPr>
          <w:rFonts w:hint="eastAsia" w:ascii="宋体" w:hAnsi="宋体" w:cs="宋体"/>
          <w:color w:val="auto"/>
          <w:sz w:val="24"/>
          <w:highlight w:val="none"/>
          <w:lang w:val="en-GB" w:eastAsia="zh-CN"/>
        </w:rPr>
        <w:t>及“中国政府采购网” （www.ccgp.gov.cn）的政府采购严重违法失信行为记录名单。【注：因“信用中国-失信被执行人”查询网址链接为“中国执行信息公开网”网站，故失信被执行人查询以中国执行信息公开网（http://zxgk.court.gov.cn）查询为准。(以上可提供承诺函，也可提供查询结果截图加盖公章，承诺函自拟）。注：采购人或采购代理机构将于本项目投标截止日在“信用中国”网站、“中国政府采购网”网站等渠道对供应商进行信用记录查询，凡被列入失信被执行人、</w:t>
      </w:r>
      <w:r>
        <w:rPr>
          <w:rFonts w:hint="eastAsia" w:ascii="宋体" w:hAnsi="宋体" w:cs="宋体"/>
          <w:color w:val="auto"/>
          <w:sz w:val="24"/>
          <w:highlight w:val="none"/>
          <w:lang w:val="en-US" w:eastAsia="zh-CN"/>
        </w:rPr>
        <w:t>重大税收违法失信主体</w:t>
      </w:r>
      <w:r>
        <w:rPr>
          <w:rFonts w:hint="eastAsia" w:ascii="宋体" w:hAnsi="宋体" w:cs="宋体"/>
          <w:color w:val="auto"/>
          <w:sz w:val="24"/>
          <w:highlight w:val="none"/>
          <w:lang w:val="en-GB" w:eastAsia="zh-CN"/>
        </w:rPr>
        <w:t>、政府采购</w:t>
      </w:r>
      <w:r>
        <w:rPr>
          <w:rFonts w:hint="eastAsia" w:ascii="宋体" w:hAnsi="宋体" w:cs="宋体"/>
          <w:color w:val="auto"/>
          <w:sz w:val="24"/>
          <w:highlight w:val="none"/>
          <w:lang w:val="en-US" w:eastAsia="zh-CN"/>
        </w:rPr>
        <w:t>严重违法失信行为记录名单</w:t>
      </w:r>
      <w:r>
        <w:rPr>
          <w:rFonts w:hint="eastAsia" w:ascii="宋体" w:hAnsi="宋体" w:cs="宋体"/>
          <w:color w:val="auto"/>
          <w:sz w:val="24"/>
          <w:highlight w:val="none"/>
          <w:lang w:val="en-GB" w:eastAsia="zh-CN"/>
        </w:rPr>
        <w:t>的，视为存在不良信用记录，参与本项目的将被拒绝；</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cs="宋体"/>
          <w:color w:val="auto"/>
          <w:kern w:val="10"/>
          <w:sz w:val="24"/>
          <w:highlight w:val="none"/>
          <w:lang w:val="en-GB"/>
        </w:rPr>
      </w:pPr>
      <w:r>
        <w:rPr>
          <w:rFonts w:hint="eastAsia" w:ascii="宋体" w:hAnsi="宋体" w:cs="宋体"/>
          <w:color w:val="auto"/>
          <w:kern w:val="10"/>
          <w:sz w:val="24"/>
          <w:highlight w:val="none"/>
          <w:lang w:val="en-US" w:eastAsia="zh-CN"/>
        </w:rPr>
        <w:t>7</w:t>
      </w:r>
      <w:r>
        <w:rPr>
          <w:rFonts w:hint="eastAsia" w:ascii="宋体" w:hAnsi="宋体" w:cs="宋体"/>
          <w:color w:val="auto"/>
          <w:kern w:val="10"/>
          <w:sz w:val="24"/>
          <w:highlight w:val="none"/>
          <w:lang w:val="en-GB" w:eastAsia="zh-CN"/>
        </w:rPr>
        <w:t>、</w:t>
      </w:r>
      <w:r>
        <w:rPr>
          <w:rFonts w:hint="eastAsia" w:ascii="宋体" w:hAnsi="宋体" w:cs="宋体"/>
          <w:color w:val="auto"/>
          <w:kern w:val="10"/>
          <w:sz w:val="24"/>
          <w:highlight w:val="none"/>
          <w:lang w:val="en-GB"/>
        </w:rPr>
        <w:t>供应商应在海南省住房和城乡建设厅海南省建筑市场监管公共服务平台完成《海南省建筑企业诚信档案手册》登记，提供网站截图证明；</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cs="宋体"/>
          <w:color w:val="auto"/>
          <w:kern w:val="10"/>
          <w:sz w:val="24"/>
          <w:highlight w:val="none"/>
          <w:lang w:val="en-GB"/>
        </w:rPr>
      </w:pPr>
      <w:r>
        <w:rPr>
          <w:rFonts w:hint="eastAsia" w:ascii="宋体" w:hAnsi="宋体" w:cs="宋体"/>
          <w:color w:val="auto"/>
          <w:kern w:val="10"/>
          <w:sz w:val="24"/>
          <w:highlight w:val="none"/>
          <w:lang w:val="en-US" w:eastAsia="zh-CN"/>
        </w:rPr>
        <w:t>8</w:t>
      </w:r>
      <w:r>
        <w:rPr>
          <w:rFonts w:hint="eastAsia" w:ascii="宋体" w:hAnsi="宋体" w:cs="宋体"/>
          <w:color w:val="auto"/>
          <w:kern w:val="10"/>
          <w:sz w:val="24"/>
          <w:highlight w:val="none"/>
          <w:lang w:val="en-GB" w:eastAsia="zh-CN"/>
        </w:rPr>
        <w:t>、</w:t>
      </w:r>
      <w:r>
        <w:rPr>
          <w:rFonts w:hint="eastAsia" w:ascii="宋体" w:hAnsi="宋体" w:cs="宋体"/>
          <w:color w:val="auto"/>
          <w:kern w:val="10"/>
          <w:sz w:val="24"/>
          <w:highlight w:val="none"/>
          <w:lang w:val="en-GB"/>
        </w:rPr>
        <w:t>购买本项目竞争性</w:t>
      </w:r>
      <w:r>
        <w:rPr>
          <w:rFonts w:hint="eastAsia" w:ascii="宋体" w:hAnsi="宋体" w:cs="宋体"/>
          <w:color w:val="auto"/>
          <w:kern w:val="10"/>
          <w:sz w:val="24"/>
          <w:highlight w:val="none"/>
          <w:lang w:val="en-GB" w:eastAsia="zh-CN"/>
        </w:rPr>
        <w:t>磋商</w:t>
      </w:r>
      <w:r>
        <w:rPr>
          <w:rFonts w:hint="eastAsia" w:ascii="宋体" w:hAnsi="宋体" w:cs="宋体"/>
          <w:color w:val="auto"/>
          <w:kern w:val="10"/>
          <w:sz w:val="24"/>
          <w:highlight w:val="none"/>
          <w:lang w:val="en-GB"/>
        </w:rPr>
        <w:t>文件且缴纳投标保证金。</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cs="宋体"/>
          <w:color w:val="auto"/>
          <w:kern w:val="10"/>
          <w:sz w:val="24"/>
          <w:highlight w:val="none"/>
          <w:lang w:val="en-GB"/>
        </w:rPr>
      </w:pPr>
      <w:r>
        <w:rPr>
          <w:rFonts w:hint="eastAsia" w:ascii="宋体" w:hAnsi="宋体" w:cs="宋体"/>
          <w:color w:val="auto"/>
          <w:kern w:val="10"/>
          <w:sz w:val="24"/>
          <w:highlight w:val="none"/>
          <w:lang w:val="en-US" w:eastAsia="zh-CN"/>
        </w:rPr>
        <w:t>9</w:t>
      </w:r>
      <w:r>
        <w:rPr>
          <w:rFonts w:hint="eastAsia" w:ascii="宋体" w:hAnsi="宋体" w:cs="宋体"/>
          <w:color w:val="auto"/>
          <w:kern w:val="10"/>
          <w:sz w:val="24"/>
          <w:highlight w:val="none"/>
          <w:lang w:val="en-GB" w:eastAsia="zh-CN"/>
        </w:rPr>
        <w:t>、</w:t>
      </w:r>
      <w:r>
        <w:rPr>
          <w:rFonts w:hint="eastAsia" w:ascii="宋体" w:hAnsi="宋体" w:cs="宋体"/>
          <w:color w:val="auto"/>
          <w:kern w:val="10"/>
          <w:sz w:val="24"/>
          <w:highlight w:val="none"/>
          <w:lang w:val="en-GB"/>
        </w:rPr>
        <w:t>本项目</w:t>
      </w:r>
      <w:r>
        <w:rPr>
          <w:rFonts w:hint="eastAsia" w:ascii="宋体" w:hAnsi="宋体" w:cs="宋体"/>
          <w:color w:val="auto"/>
          <w:kern w:val="10"/>
          <w:sz w:val="24"/>
          <w:highlight w:val="none"/>
          <w:lang w:val="en-US" w:eastAsia="zh-CN"/>
        </w:rPr>
        <w:t xml:space="preserve"> </w:t>
      </w:r>
      <w:r>
        <w:rPr>
          <w:rFonts w:hint="eastAsia" w:ascii="宋体" w:hAnsi="宋体" w:cs="宋体"/>
          <w:color w:val="auto"/>
          <w:kern w:val="10"/>
          <w:sz w:val="24"/>
          <w:highlight w:val="none"/>
          <w:u w:val="single"/>
          <w:lang w:val="en-GB"/>
        </w:rPr>
        <w:t>不接受</w:t>
      </w:r>
      <w:r>
        <w:rPr>
          <w:rFonts w:hint="eastAsia" w:ascii="宋体" w:hAnsi="宋体" w:cs="宋体"/>
          <w:color w:val="auto"/>
          <w:kern w:val="10"/>
          <w:sz w:val="24"/>
          <w:highlight w:val="none"/>
          <w:u w:val="single"/>
          <w:lang w:val="en-US" w:eastAsia="zh-CN"/>
        </w:rPr>
        <w:t xml:space="preserve"> </w:t>
      </w:r>
      <w:r>
        <w:rPr>
          <w:rFonts w:hint="eastAsia" w:ascii="宋体" w:hAnsi="宋体" w:cs="宋体"/>
          <w:color w:val="auto"/>
          <w:kern w:val="10"/>
          <w:sz w:val="24"/>
          <w:highlight w:val="none"/>
          <w:lang w:val="en-GB"/>
        </w:rPr>
        <w:t>联合体投标。</w:t>
      </w:r>
    </w:p>
    <w:p>
      <w:pPr>
        <w:pageBreakBefore w:val="0"/>
        <w:numPr>
          <w:ilvl w:val="0"/>
          <w:numId w:val="0"/>
        </w:numPr>
        <w:kinsoku/>
        <w:topLinePunct w:val="0"/>
        <w:bidi w:val="0"/>
        <w:spacing w:line="360" w:lineRule="auto"/>
        <w:ind w:left="-4" w:leftChars="-2" w:right="-483" w:rightChars="-230"/>
        <w:rPr>
          <w:rFonts w:ascii="宋体" w:cs="宋体"/>
          <w:color w:val="auto"/>
          <w:kern w:val="10"/>
          <w:highlight w:val="none"/>
        </w:rPr>
      </w:pPr>
      <w:r>
        <w:rPr>
          <w:rStyle w:val="21"/>
          <w:rFonts w:hint="eastAsia" w:ascii="宋体" w:hAnsi="宋体" w:cs="宋体"/>
          <w:color w:val="auto"/>
          <w:kern w:val="10"/>
          <w:highlight w:val="none"/>
          <w:shd w:val="clear" w:color="auto" w:fill="FFFFFF"/>
        </w:rPr>
        <w:t>三、</w:t>
      </w:r>
      <w:r>
        <w:rPr>
          <w:rStyle w:val="21"/>
          <w:rFonts w:ascii="宋体" w:hAnsi="宋体" w:cs="宋体"/>
          <w:color w:val="auto"/>
          <w:kern w:val="10"/>
          <w:highlight w:val="none"/>
          <w:shd w:val="clear" w:color="auto" w:fill="FFFFFF"/>
        </w:rPr>
        <w:t xml:space="preserve"> </w:t>
      </w:r>
      <w:r>
        <w:rPr>
          <w:rStyle w:val="21"/>
          <w:rFonts w:hint="eastAsia" w:ascii="宋体" w:hAnsi="宋体" w:cs="宋体"/>
          <w:color w:val="auto"/>
          <w:kern w:val="10"/>
          <w:highlight w:val="none"/>
          <w:shd w:val="clear" w:color="auto" w:fill="FFFFFF"/>
          <w:lang w:eastAsia="zh-CN"/>
        </w:rPr>
        <w:t>磋商</w:t>
      </w:r>
      <w:r>
        <w:rPr>
          <w:rStyle w:val="21"/>
          <w:rFonts w:hint="eastAsia" w:ascii="宋体" w:hAnsi="宋体" w:cs="宋体"/>
          <w:color w:val="auto"/>
          <w:kern w:val="10"/>
          <w:highlight w:val="none"/>
          <w:shd w:val="clear" w:color="auto" w:fill="FFFFFF"/>
        </w:rPr>
        <w:t>文件的获取</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cs="宋体"/>
          <w:color w:val="auto"/>
          <w:kern w:val="10"/>
          <w:sz w:val="24"/>
          <w:highlight w:val="none"/>
          <w:lang w:val="en-US" w:eastAsia="zh-CN"/>
        </w:rPr>
      </w:pPr>
      <w:r>
        <w:rPr>
          <w:rFonts w:hint="eastAsia" w:ascii="宋体" w:hAnsi="宋体" w:cs="宋体"/>
          <w:color w:val="auto"/>
          <w:kern w:val="10"/>
          <w:sz w:val="24"/>
          <w:highlight w:val="none"/>
          <w:lang w:val="en-US" w:eastAsia="zh-CN"/>
        </w:rPr>
        <w:t>1、</w:t>
      </w:r>
      <w:r>
        <w:rPr>
          <w:rFonts w:hint="eastAsia" w:ascii="宋体" w:hAnsi="宋体" w:cs="宋体"/>
          <w:color w:val="auto"/>
          <w:kern w:val="10"/>
          <w:sz w:val="24"/>
          <w:highlight w:val="none"/>
        </w:rPr>
        <w:t>发售标书时间：</w:t>
      </w:r>
      <w:r>
        <w:rPr>
          <w:rFonts w:hint="eastAsia" w:ascii="宋体" w:hAnsi="宋体" w:cs="宋体"/>
          <w:color w:val="auto"/>
          <w:kern w:val="10"/>
          <w:sz w:val="24"/>
          <w:highlight w:val="none"/>
          <w:u w:val="single"/>
          <w:lang w:val="en-US" w:eastAsia="zh-CN"/>
        </w:rPr>
        <w:t>2023</w:t>
      </w:r>
      <w:r>
        <w:rPr>
          <w:rFonts w:hint="eastAsia" w:ascii="宋体" w:hAnsi="宋体" w:cs="宋体"/>
          <w:color w:val="auto"/>
          <w:kern w:val="10"/>
          <w:sz w:val="24"/>
          <w:highlight w:val="none"/>
          <w:lang w:eastAsia="zh-CN"/>
        </w:rPr>
        <w:t>年</w:t>
      </w:r>
      <w:r>
        <w:rPr>
          <w:rFonts w:hint="eastAsia" w:ascii="宋体" w:hAnsi="宋体" w:cs="宋体"/>
          <w:color w:val="auto"/>
          <w:kern w:val="10"/>
          <w:sz w:val="24"/>
          <w:highlight w:val="none"/>
          <w:u w:val="single"/>
          <w:lang w:val="en-US" w:eastAsia="zh-CN"/>
        </w:rPr>
        <w:t>07</w:t>
      </w:r>
      <w:r>
        <w:rPr>
          <w:rFonts w:hint="eastAsia" w:ascii="宋体" w:hAnsi="宋体" w:cs="宋体"/>
          <w:color w:val="auto"/>
          <w:kern w:val="10"/>
          <w:sz w:val="24"/>
          <w:highlight w:val="none"/>
          <w:lang w:val="en-US" w:eastAsia="zh-CN"/>
        </w:rPr>
        <w:t>月</w:t>
      </w:r>
      <w:r>
        <w:rPr>
          <w:rFonts w:hint="eastAsia" w:ascii="宋体" w:hAnsi="宋体" w:cs="宋体"/>
          <w:color w:val="auto"/>
          <w:kern w:val="10"/>
          <w:sz w:val="24"/>
          <w:highlight w:val="none"/>
          <w:u w:val="single"/>
          <w:lang w:val="en-US" w:eastAsia="zh-CN"/>
        </w:rPr>
        <w:t>26</w:t>
      </w:r>
      <w:r>
        <w:rPr>
          <w:rFonts w:hint="eastAsia" w:ascii="宋体" w:hAnsi="宋体" w:cs="宋体"/>
          <w:color w:val="auto"/>
          <w:kern w:val="10"/>
          <w:sz w:val="24"/>
          <w:highlight w:val="none"/>
          <w:lang w:val="en-US" w:eastAsia="zh-CN"/>
        </w:rPr>
        <w:t>日至</w:t>
      </w:r>
      <w:r>
        <w:rPr>
          <w:rFonts w:hint="eastAsia" w:ascii="宋体" w:hAnsi="宋体" w:cs="宋体"/>
          <w:color w:val="auto"/>
          <w:kern w:val="10"/>
          <w:sz w:val="24"/>
          <w:highlight w:val="none"/>
          <w:u w:val="single"/>
        </w:rPr>
        <w:t>20</w:t>
      </w:r>
      <w:r>
        <w:rPr>
          <w:rFonts w:hint="eastAsia" w:ascii="宋体" w:hAnsi="宋体" w:cs="宋体"/>
          <w:color w:val="auto"/>
          <w:kern w:val="10"/>
          <w:sz w:val="24"/>
          <w:highlight w:val="none"/>
          <w:u w:val="single"/>
          <w:lang w:val="en-US" w:eastAsia="zh-CN"/>
        </w:rPr>
        <w:t>23</w:t>
      </w:r>
      <w:r>
        <w:rPr>
          <w:rFonts w:hint="eastAsia" w:ascii="宋体" w:hAnsi="宋体" w:cs="宋体"/>
          <w:color w:val="auto"/>
          <w:kern w:val="10"/>
          <w:sz w:val="24"/>
          <w:highlight w:val="none"/>
          <w:lang w:eastAsia="zh-CN"/>
        </w:rPr>
        <w:t>年</w:t>
      </w:r>
      <w:r>
        <w:rPr>
          <w:rFonts w:hint="eastAsia" w:ascii="宋体" w:hAnsi="宋体" w:cs="宋体"/>
          <w:color w:val="auto"/>
          <w:kern w:val="10"/>
          <w:sz w:val="24"/>
          <w:highlight w:val="none"/>
          <w:u w:val="single"/>
          <w:lang w:val="en-US" w:eastAsia="zh-CN"/>
        </w:rPr>
        <w:t>08</w:t>
      </w:r>
      <w:r>
        <w:rPr>
          <w:rFonts w:hint="eastAsia" w:ascii="宋体" w:hAnsi="宋体" w:cs="宋体"/>
          <w:color w:val="auto"/>
          <w:kern w:val="10"/>
          <w:sz w:val="24"/>
          <w:highlight w:val="none"/>
          <w:lang w:eastAsia="zh-CN"/>
        </w:rPr>
        <w:t>月</w:t>
      </w:r>
      <w:r>
        <w:rPr>
          <w:rFonts w:hint="eastAsia" w:ascii="宋体" w:hAnsi="宋体" w:cs="宋体"/>
          <w:color w:val="auto"/>
          <w:kern w:val="10"/>
          <w:sz w:val="24"/>
          <w:highlight w:val="none"/>
          <w:u w:val="single"/>
          <w:lang w:val="en-US" w:eastAsia="zh-CN"/>
        </w:rPr>
        <w:t>2</w:t>
      </w:r>
      <w:r>
        <w:rPr>
          <w:rFonts w:hint="eastAsia" w:ascii="宋体" w:hAnsi="宋体" w:cs="宋体"/>
          <w:color w:val="auto"/>
          <w:kern w:val="10"/>
          <w:sz w:val="24"/>
          <w:highlight w:val="none"/>
          <w:lang w:val="en-US" w:eastAsia="zh-CN"/>
        </w:rPr>
        <w:t>日</w:t>
      </w:r>
      <w:r>
        <w:rPr>
          <w:rFonts w:hint="eastAsia" w:ascii="宋体" w:hAnsi="宋体" w:cs="宋体"/>
          <w:color w:val="auto"/>
          <w:kern w:val="10"/>
          <w:sz w:val="24"/>
          <w:highlight w:val="none"/>
        </w:rPr>
        <w:t>，每日上午</w:t>
      </w:r>
      <w:r>
        <w:rPr>
          <w:rFonts w:hint="eastAsia" w:ascii="宋体" w:hAnsi="宋体" w:cs="宋体"/>
          <w:color w:val="auto"/>
          <w:kern w:val="10"/>
          <w:sz w:val="24"/>
          <w:highlight w:val="none"/>
          <w:lang w:val="en-US" w:eastAsia="zh-CN"/>
        </w:rPr>
        <w:t>00</w:t>
      </w:r>
      <w:r>
        <w:rPr>
          <w:rFonts w:hint="eastAsia" w:ascii="宋体" w:hAnsi="宋体" w:cs="宋体"/>
          <w:color w:val="auto"/>
          <w:kern w:val="10"/>
          <w:sz w:val="24"/>
          <w:highlight w:val="none"/>
        </w:rPr>
        <w:t>：</w:t>
      </w:r>
      <w:r>
        <w:rPr>
          <w:rFonts w:hint="eastAsia" w:ascii="宋体" w:hAnsi="宋体" w:cs="宋体"/>
          <w:color w:val="auto"/>
          <w:kern w:val="10"/>
          <w:sz w:val="24"/>
          <w:highlight w:val="none"/>
          <w:lang w:val="en-US" w:eastAsia="zh-CN"/>
        </w:rPr>
        <w:t>0</w:t>
      </w:r>
      <w:r>
        <w:rPr>
          <w:rFonts w:hint="eastAsia" w:ascii="宋体" w:hAnsi="宋体" w:cs="宋体"/>
          <w:color w:val="auto"/>
          <w:kern w:val="10"/>
          <w:sz w:val="24"/>
          <w:highlight w:val="none"/>
        </w:rPr>
        <w:t>0至1</w:t>
      </w:r>
      <w:r>
        <w:rPr>
          <w:rFonts w:hint="eastAsia" w:ascii="宋体" w:hAnsi="宋体" w:cs="宋体"/>
          <w:color w:val="auto"/>
          <w:kern w:val="10"/>
          <w:sz w:val="24"/>
          <w:highlight w:val="none"/>
          <w:lang w:eastAsia="zh-CN"/>
        </w:rPr>
        <w:t>2</w:t>
      </w:r>
      <w:r>
        <w:rPr>
          <w:rFonts w:hint="eastAsia" w:ascii="宋体" w:hAnsi="宋体" w:cs="宋体"/>
          <w:color w:val="auto"/>
          <w:kern w:val="10"/>
          <w:sz w:val="24"/>
          <w:highlight w:val="none"/>
        </w:rPr>
        <w:t>：</w:t>
      </w:r>
      <w:r>
        <w:rPr>
          <w:rFonts w:hint="eastAsia" w:ascii="宋体" w:hAnsi="宋体" w:cs="宋体"/>
          <w:color w:val="auto"/>
          <w:kern w:val="10"/>
          <w:sz w:val="24"/>
          <w:highlight w:val="none"/>
          <w:lang w:eastAsia="zh-CN"/>
        </w:rPr>
        <w:t>0</w:t>
      </w:r>
      <w:r>
        <w:rPr>
          <w:rFonts w:hint="eastAsia" w:ascii="宋体" w:hAnsi="宋体" w:cs="宋体"/>
          <w:color w:val="auto"/>
          <w:kern w:val="10"/>
          <w:sz w:val="24"/>
          <w:highlight w:val="none"/>
        </w:rPr>
        <w:t>0 ，下午1</w:t>
      </w:r>
      <w:r>
        <w:rPr>
          <w:rFonts w:hint="eastAsia" w:ascii="宋体" w:hAnsi="宋体" w:cs="宋体"/>
          <w:color w:val="auto"/>
          <w:kern w:val="10"/>
          <w:sz w:val="24"/>
          <w:highlight w:val="none"/>
          <w:lang w:val="en-US" w:eastAsia="zh-CN"/>
        </w:rPr>
        <w:t>2</w:t>
      </w:r>
      <w:r>
        <w:rPr>
          <w:rFonts w:hint="eastAsia" w:ascii="宋体" w:hAnsi="宋体" w:cs="宋体"/>
          <w:color w:val="auto"/>
          <w:kern w:val="10"/>
          <w:sz w:val="24"/>
          <w:highlight w:val="none"/>
        </w:rPr>
        <w:t>：</w:t>
      </w:r>
      <w:r>
        <w:rPr>
          <w:rFonts w:hint="eastAsia" w:ascii="宋体" w:hAnsi="宋体" w:cs="宋体"/>
          <w:color w:val="auto"/>
          <w:kern w:val="10"/>
          <w:sz w:val="24"/>
          <w:highlight w:val="none"/>
          <w:lang w:val="en-US" w:eastAsia="zh-CN"/>
        </w:rPr>
        <w:t>0</w:t>
      </w:r>
      <w:r>
        <w:rPr>
          <w:rFonts w:hint="eastAsia" w:ascii="宋体" w:hAnsi="宋体" w:cs="宋体"/>
          <w:color w:val="auto"/>
          <w:kern w:val="10"/>
          <w:sz w:val="24"/>
          <w:highlight w:val="none"/>
        </w:rPr>
        <w:t>0至</w:t>
      </w:r>
      <w:r>
        <w:rPr>
          <w:rFonts w:hint="eastAsia" w:ascii="宋体" w:hAnsi="宋体" w:cs="宋体"/>
          <w:color w:val="auto"/>
          <w:kern w:val="10"/>
          <w:sz w:val="24"/>
          <w:highlight w:val="none"/>
          <w:lang w:val="en-US" w:eastAsia="zh-CN"/>
        </w:rPr>
        <w:t>24</w:t>
      </w:r>
      <w:r>
        <w:rPr>
          <w:rFonts w:hint="eastAsia" w:ascii="宋体" w:hAnsi="宋体" w:cs="宋体"/>
          <w:color w:val="auto"/>
          <w:kern w:val="10"/>
          <w:sz w:val="24"/>
          <w:highlight w:val="none"/>
        </w:rPr>
        <w:t>：</w:t>
      </w:r>
      <w:r>
        <w:rPr>
          <w:rFonts w:hint="eastAsia" w:ascii="宋体" w:hAnsi="宋体" w:cs="宋体"/>
          <w:color w:val="auto"/>
          <w:kern w:val="10"/>
          <w:sz w:val="24"/>
          <w:highlight w:val="none"/>
          <w:lang w:val="en-US" w:eastAsia="zh-CN"/>
        </w:rPr>
        <w:t>00（双休日及法定节假日除外）。</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kern w:val="10"/>
          <w:sz w:val="24"/>
          <w:highlight w:val="none"/>
          <w:lang w:eastAsia="zh-CN"/>
        </w:rPr>
      </w:pPr>
      <w:r>
        <w:rPr>
          <w:rFonts w:hint="eastAsia" w:ascii="宋体" w:hAnsi="宋体" w:cs="宋体"/>
          <w:color w:val="000000"/>
          <w:kern w:val="10"/>
          <w:sz w:val="24"/>
          <w:highlight w:val="none"/>
          <w:lang w:val="en-US" w:eastAsia="zh-CN"/>
        </w:rPr>
        <w:t>2、</w:t>
      </w:r>
      <w:r>
        <w:rPr>
          <w:rFonts w:hint="eastAsia" w:ascii="宋体" w:hAnsi="宋体" w:cs="宋体"/>
          <w:color w:val="000000"/>
          <w:kern w:val="10"/>
          <w:sz w:val="24"/>
          <w:highlight w:val="none"/>
        </w:rPr>
        <w:t>发售标书地点：</w:t>
      </w:r>
      <w:r>
        <w:rPr>
          <w:rFonts w:ascii="宋体" w:hAnsi="宋体" w:eastAsia="宋体" w:cs="宋体"/>
          <w:i w:val="0"/>
          <w:iCs w:val="0"/>
          <w:caps w:val="0"/>
          <w:color w:val="000000"/>
          <w:spacing w:val="0"/>
          <w:sz w:val="24"/>
          <w:szCs w:val="24"/>
          <w:shd w:val="clear" w:color="auto" w:fill="FFFFFF"/>
        </w:rPr>
        <w:t>海南政府采购网(www.ccgp-hainan.gov.cn)-海南省政府采购电子化交易管理系统(新)</w:t>
      </w:r>
      <w:r>
        <w:rPr>
          <w:rFonts w:hint="eastAsia" w:ascii="宋体" w:hAnsi="宋体" w:cs="宋体"/>
          <w:color w:val="000000"/>
          <w:kern w:val="10"/>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cs="宋体"/>
          <w:color w:val="000000"/>
          <w:kern w:val="10"/>
          <w:sz w:val="24"/>
          <w:highlight w:val="none"/>
          <w:lang w:val="en-US" w:eastAsia="zh-CN"/>
        </w:rPr>
      </w:pPr>
      <w:r>
        <w:rPr>
          <w:rFonts w:hint="eastAsia" w:ascii="宋体" w:hAnsi="宋体" w:cs="宋体"/>
          <w:color w:val="000000"/>
          <w:kern w:val="10"/>
          <w:sz w:val="24"/>
          <w:highlight w:val="none"/>
          <w:lang w:val="en-US" w:eastAsia="zh-CN"/>
        </w:rPr>
        <w:t>3、方式：网上下载</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default" w:ascii="宋体" w:hAnsi="宋体" w:cs="宋体"/>
          <w:color w:val="000000"/>
          <w:kern w:val="10"/>
          <w:sz w:val="24"/>
          <w:highlight w:val="none"/>
          <w:lang w:val="en-US" w:eastAsia="zh-CN"/>
        </w:rPr>
      </w:pPr>
      <w:r>
        <w:rPr>
          <w:rFonts w:hint="eastAsia" w:ascii="宋体" w:hAnsi="宋体" w:cs="宋体"/>
          <w:color w:val="000000"/>
          <w:kern w:val="10"/>
          <w:sz w:val="24"/>
          <w:highlight w:val="none"/>
          <w:lang w:val="en-US" w:eastAsia="zh-CN"/>
        </w:rPr>
        <w:t>4、售价：300元</w:t>
      </w:r>
    </w:p>
    <w:p>
      <w:pPr>
        <w:pStyle w:val="17"/>
        <w:pageBreakBefore w:val="0"/>
        <w:widowControl/>
        <w:kinsoku/>
        <w:wordWrap w:val="0"/>
        <w:topLinePunct w:val="0"/>
        <w:bidi w:val="0"/>
        <w:spacing w:line="360" w:lineRule="auto"/>
        <w:rPr>
          <w:rFonts w:ascii="宋体" w:cs="宋体"/>
          <w:color w:val="000000"/>
          <w:kern w:val="10"/>
          <w:highlight w:val="none"/>
        </w:rPr>
      </w:pPr>
      <w:r>
        <w:rPr>
          <w:rStyle w:val="21"/>
          <w:rFonts w:hint="eastAsia" w:ascii="宋体" w:hAnsi="宋体" w:cs="宋体"/>
          <w:color w:val="000000"/>
          <w:kern w:val="10"/>
          <w:highlight w:val="none"/>
          <w:shd w:val="clear" w:color="auto" w:fill="FFFFFF"/>
        </w:rPr>
        <w:t>四、</w:t>
      </w:r>
      <w:r>
        <w:rPr>
          <w:rStyle w:val="21"/>
          <w:rFonts w:ascii="宋体" w:hAnsi="宋体" w:cs="宋体"/>
          <w:color w:val="000000"/>
          <w:kern w:val="10"/>
          <w:highlight w:val="none"/>
          <w:shd w:val="clear" w:color="auto" w:fill="FFFFFF"/>
        </w:rPr>
        <w:t xml:space="preserve"> </w:t>
      </w:r>
      <w:r>
        <w:rPr>
          <w:rStyle w:val="21"/>
          <w:rFonts w:hint="eastAsia" w:ascii="宋体" w:hAnsi="宋体" w:cs="宋体"/>
          <w:color w:val="000000"/>
          <w:kern w:val="10"/>
          <w:highlight w:val="none"/>
          <w:shd w:val="clear" w:color="auto" w:fill="FFFFFF"/>
          <w:lang w:eastAsia="zh-CN"/>
        </w:rPr>
        <w:t>响应</w:t>
      </w:r>
      <w:r>
        <w:rPr>
          <w:rStyle w:val="21"/>
          <w:rFonts w:hint="eastAsia" w:ascii="宋体" w:hAnsi="宋体" w:cs="宋体"/>
          <w:color w:val="000000"/>
          <w:kern w:val="10"/>
          <w:highlight w:val="none"/>
          <w:shd w:val="clear" w:color="auto" w:fill="FFFFFF"/>
        </w:rPr>
        <w:t>文件和保证金的递交</w:t>
      </w:r>
    </w:p>
    <w:p>
      <w:pPr>
        <w:keepNext w:val="0"/>
        <w:keepLines w:val="0"/>
        <w:pageBreakBefore w:val="0"/>
        <w:widowControl/>
        <w:shd w:val="clear" w:color="auto" w:fill="FFFFFF"/>
        <w:kinsoku/>
        <w:wordWrap w:val="0"/>
        <w:overflowPunct/>
        <w:topLinePunct w:val="0"/>
        <w:autoSpaceDE/>
        <w:autoSpaceDN/>
        <w:bidi w:val="0"/>
        <w:adjustRightInd/>
        <w:snapToGrid/>
        <w:spacing w:after="150" w:line="360" w:lineRule="auto"/>
        <w:ind w:left="363"/>
        <w:jc w:val="left"/>
        <w:textAlignment w:val="auto"/>
        <w:rPr>
          <w:rFonts w:ascii="宋体" w:cs="宋体"/>
          <w:color w:val="auto"/>
          <w:kern w:val="10"/>
          <w:sz w:val="24"/>
          <w:highlight w:val="none"/>
        </w:rPr>
      </w:pPr>
      <w:r>
        <w:rPr>
          <w:rFonts w:ascii="宋体" w:hAnsi="宋体" w:cs="宋体"/>
          <w:color w:val="auto"/>
          <w:kern w:val="10"/>
          <w:sz w:val="24"/>
          <w:highlight w:val="none"/>
          <w:shd w:val="clear" w:color="auto" w:fill="FFFFFF"/>
        </w:rPr>
        <w:t>1</w:t>
      </w:r>
      <w:r>
        <w:rPr>
          <w:rFonts w:hint="eastAsia" w:ascii="宋体" w:hAnsi="宋体" w:cs="宋体"/>
          <w:color w:val="auto"/>
          <w:kern w:val="10"/>
          <w:sz w:val="24"/>
          <w:highlight w:val="none"/>
          <w:shd w:val="clear" w:color="auto" w:fill="FFFFFF"/>
        </w:rPr>
        <w:t>、</w:t>
      </w:r>
      <w:r>
        <w:rPr>
          <w:rFonts w:hint="eastAsia" w:ascii="宋体" w:hAnsi="宋体" w:cs="宋体"/>
          <w:color w:val="auto"/>
          <w:kern w:val="10"/>
          <w:sz w:val="24"/>
          <w:highlight w:val="none"/>
          <w:shd w:val="clear" w:color="auto" w:fill="FFFFFF"/>
          <w:lang w:eastAsia="zh-CN"/>
        </w:rPr>
        <w:t>响应</w:t>
      </w:r>
      <w:r>
        <w:rPr>
          <w:rFonts w:hint="eastAsia" w:ascii="宋体" w:hAnsi="宋体" w:cs="宋体"/>
          <w:color w:val="auto"/>
          <w:kern w:val="10"/>
          <w:sz w:val="24"/>
          <w:highlight w:val="none"/>
          <w:shd w:val="clear" w:color="auto" w:fill="FFFFFF"/>
        </w:rPr>
        <w:t>文件递交截止时间：</w:t>
      </w:r>
      <w:r>
        <w:rPr>
          <w:rFonts w:ascii="宋体" w:hAnsi="宋体" w:cs="宋体"/>
          <w:color w:val="auto"/>
          <w:kern w:val="10"/>
          <w:sz w:val="24"/>
          <w:highlight w:val="none"/>
          <w:u w:val="single"/>
          <w:shd w:val="clear" w:color="auto" w:fill="FFFFFF"/>
        </w:rPr>
        <w:t>20</w:t>
      </w:r>
      <w:r>
        <w:rPr>
          <w:rFonts w:hint="eastAsia" w:ascii="宋体" w:hAnsi="宋体" w:cs="宋体"/>
          <w:color w:val="auto"/>
          <w:kern w:val="10"/>
          <w:sz w:val="24"/>
          <w:highlight w:val="none"/>
          <w:u w:val="single"/>
          <w:shd w:val="clear" w:color="auto" w:fill="FFFFFF"/>
          <w:lang w:val="en-US" w:eastAsia="zh-CN"/>
        </w:rPr>
        <w:t>23</w:t>
      </w:r>
      <w:r>
        <w:rPr>
          <w:rFonts w:hint="eastAsia" w:ascii="宋体" w:hAnsi="宋体" w:cs="宋体"/>
          <w:color w:val="auto"/>
          <w:kern w:val="10"/>
          <w:sz w:val="24"/>
          <w:highlight w:val="none"/>
          <w:shd w:val="clear" w:color="auto" w:fill="FFFFFF"/>
          <w:lang w:eastAsia="zh-CN"/>
        </w:rPr>
        <w:t>年</w:t>
      </w:r>
      <w:r>
        <w:rPr>
          <w:rFonts w:hint="eastAsia" w:ascii="宋体" w:hAnsi="宋体" w:cs="宋体"/>
          <w:color w:val="auto"/>
          <w:kern w:val="10"/>
          <w:sz w:val="24"/>
          <w:highlight w:val="none"/>
          <w:u w:val="single"/>
          <w:shd w:val="clear" w:color="auto" w:fill="FFFFFF"/>
          <w:lang w:val="en-US" w:eastAsia="zh-CN"/>
        </w:rPr>
        <w:t>08</w:t>
      </w:r>
      <w:r>
        <w:rPr>
          <w:rFonts w:hint="eastAsia" w:ascii="宋体" w:cs="宋体"/>
          <w:color w:val="auto"/>
          <w:kern w:val="10"/>
          <w:sz w:val="24"/>
          <w:highlight w:val="none"/>
          <w:shd w:val="clear" w:color="auto" w:fill="FFFFFF"/>
          <w:lang w:eastAsia="zh-CN"/>
        </w:rPr>
        <w:t>月</w:t>
      </w:r>
      <w:r>
        <w:rPr>
          <w:rFonts w:hint="eastAsia" w:ascii="宋体" w:hAnsi="宋体" w:cs="宋体"/>
          <w:color w:val="auto"/>
          <w:kern w:val="10"/>
          <w:sz w:val="24"/>
          <w:highlight w:val="none"/>
          <w:u w:val="single"/>
          <w:shd w:val="clear" w:color="auto" w:fill="FFFFFF"/>
          <w:lang w:val="en-US" w:eastAsia="zh-CN"/>
        </w:rPr>
        <w:t>07</w:t>
      </w:r>
      <w:r>
        <w:rPr>
          <w:rFonts w:hint="eastAsia" w:ascii="宋体" w:hAnsi="宋体" w:cs="宋体"/>
          <w:color w:val="auto"/>
          <w:kern w:val="10"/>
          <w:sz w:val="24"/>
          <w:highlight w:val="none"/>
          <w:shd w:val="clear" w:color="auto" w:fill="FFFFFF"/>
          <w:lang w:eastAsia="zh-CN"/>
        </w:rPr>
        <w:t>日</w:t>
      </w:r>
      <w:r>
        <w:rPr>
          <w:rFonts w:hint="eastAsia" w:ascii="宋体" w:hAnsi="宋体" w:cs="宋体"/>
          <w:color w:val="auto"/>
          <w:kern w:val="10"/>
          <w:sz w:val="24"/>
          <w:highlight w:val="none"/>
          <w:shd w:val="clear" w:color="auto" w:fill="FFFFFF"/>
          <w:lang w:val="en-US" w:eastAsia="zh-CN"/>
        </w:rPr>
        <w:t>下午</w:t>
      </w:r>
      <w:r>
        <w:rPr>
          <w:rFonts w:hint="eastAsia" w:ascii="宋体" w:hAnsi="宋体" w:cs="宋体"/>
          <w:color w:val="auto"/>
          <w:kern w:val="10"/>
          <w:sz w:val="24"/>
          <w:highlight w:val="none"/>
          <w:u w:val="single"/>
          <w:shd w:val="clear" w:color="auto" w:fill="FFFFFF"/>
          <w:lang w:val="en-US" w:eastAsia="zh-CN"/>
        </w:rPr>
        <w:t>14</w:t>
      </w:r>
      <w:r>
        <w:rPr>
          <w:rFonts w:ascii="宋体" w:hAnsi="宋体" w:cs="宋体"/>
          <w:color w:val="auto"/>
          <w:kern w:val="10"/>
          <w:sz w:val="24"/>
          <w:highlight w:val="none"/>
          <w:u w:val="single"/>
          <w:shd w:val="clear" w:color="auto" w:fill="FFFFFF"/>
        </w:rPr>
        <w:t>:</w:t>
      </w:r>
      <w:r>
        <w:rPr>
          <w:rFonts w:hint="eastAsia" w:ascii="宋体" w:hAnsi="宋体" w:cs="宋体"/>
          <w:color w:val="auto"/>
          <w:kern w:val="10"/>
          <w:sz w:val="24"/>
          <w:highlight w:val="none"/>
          <w:u w:val="single"/>
          <w:shd w:val="clear" w:color="auto" w:fill="FFFFFF"/>
          <w:lang w:val="en-US" w:eastAsia="zh-CN"/>
        </w:rPr>
        <w:t>30</w:t>
      </w:r>
      <w:r>
        <w:rPr>
          <w:rFonts w:hint="eastAsia" w:ascii="宋体" w:hAnsi="宋体" w:cs="宋体"/>
          <w:color w:val="auto"/>
          <w:kern w:val="10"/>
          <w:sz w:val="24"/>
          <w:highlight w:val="none"/>
          <w:u w:val="single"/>
          <w:shd w:val="clear" w:color="auto" w:fill="FFFFFF"/>
        </w:rPr>
        <w:t>:00</w:t>
      </w:r>
      <w:r>
        <w:rPr>
          <w:rFonts w:hint="eastAsia" w:ascii="宋体" w:hAnsi="宋体" w:cs="宋体"/>
          <w:color w:val="auto"/>
          <w:kern w:val="10"/>
          <w:sz w:val="24"/>
          <w:highlight w:val="none"/>
          <w:shd w:val="clear" w:color="auto" w:fill="FFFFFF"/>
        </w:rPr>
        <w:t>（北京时间）。</w:t>
      </w:r>
    </w:p>
    <w:p>
      <w:pPr>
        <w:keepNext w:val="0"/>
        <w:keepLines w:val="0"/>
        <w:pageBreakBefore w:val="0"/>
        <w:widowControl/>
        <w:shd w:val="clear" w:color="auto" w:fill="FFFFFF"/>
        <w:kinsoku/>
        <w:wordWrap w:val="0"/>
        <w:overflowPunct/>
        <w:topLinePunct w:val="0"/>
        <w:autoSpaceDE/>
        <w:autoSpaceDN/>
        <w:bidi w:val="0"/>
        <w:adjustRightInd/>
        <w:snapToGrid/>
        <w:spacing w:after="150" w:line="360" w:lineRule="auto"/>
        <w:ind w:left="363"/>
        <w:jc w:val="left"/>
        <w:textAlignment w:val="auto"/>
        <w:rPr>
          <w:rFonts w:ascii="宋体" w:cs="宋体"/>
          <w:color w:val="auto"/>
          <w:kern w:val="10"/>
          <w:sz w:val="24"/>
          <w:highlight w:val="none"/>
        </w:rPr>
      </w:pPr>
      <w:r>
        <w:rPr>
          <w:rFonts w:ascii="宋体" w:hAnsi="宋体" w:cs="宋体"/>
          <w:color w:val="auto"/>
          <w:kern w:val="10"/>
          <w:sz w:val="24"/>
          <w:highlight w:val="none"/>
          <w:shd w:val="clear" w:color="auto" w:fill="FFFFFF"/>
        </w:rPr>
        <w:t>2</w:t>
      </w:r>
      <w:r>
        <w:rPr>
          <w:rFonts w:hint="eastAsia" w:ascii="宋体" w:hAnsi="宋体" w:cs="宋体"/>
          <w:color w:val="auto"/>
          <w:kern w:val="10"/>
          <w:sz w:val="24"/>
          <w:highlight w:val="none"/>
          <w:shd w:val="clear" w:color="auto" w:fill="FFFFFF"/>
        </w:rPr>
        <w:t>、</w:t>
      </w:r>
      <w:r>
        <w:rPr>
          <w:rFonts w:hint="eastAsia" w:ascii="宋体" w:hAnsi="宋体" w:cs="宋体"/>
          <w:color w:val="auto"/>
          <w:kern w:val="10"/>
          <w:sz w:val="24"/>
          <w:highlight w:val="none"/>
          <w:shd w:val="clear" w:color="auto" w:fill="FFFFFF"/>
          <w:lang w:eastAsia="zh-CN"/>
        </w:rPr>
        <w:t>响应</w:t>
      </w:r>
      <w:r>
        <w:rPr>
          <w:rFonts w:hint="eastAsia" w:ascii="宋体" w:hAnsi="宋体" w:cs="宋体"/>
          <w:color w:val="auto"/>
          <w:kern w:val="10"/>
          <w:sz w:val="24"/>
          <w:highlight w:val="none"/>
          <w:shd w:val="clear" w:color="auto" w:fill="FFFFFF"/>
        </w:rPr>
        <w:t>文件递交地址</w:t>
      </w:r>
      <w:r>
        <w:rPr>
          <w:rFonts w:ascii="宋体" w:hAnsi="宋体" w:cs="宋体"/>
          <w:color w:val="auto"/>
          <w:kern w:val="10"/>
          <w:sz w:val="24"/>
          <w:highlight w:val="none"/>
          <w:shd w:val="clear" w:color="auto" w:fill="FFFFFF"/>
        </w:rPr>
        <w:t>(</w:t>
      </w:r>
      <w:r>
        <w:rPr>
          <w:rFonts w:hint="eastAsia" w:ascii="宋体" w:hAnsi="宋体" w:cs="宋体"/>
          <w:color w:val="auto"/>
          <w:kern w:val="10"/>
          <w:sz w:val="24"/>
          <w:highlight w:val="none"/>
          <w:shd w:val="clear" w:color="auto" w:fill="FFFFFF"/>
        </w:rPr>
        <w:t>地点</w:t>
      </w:r>
      <w:r>
        <w:rPr>
          <w:rFonts w:ascii="宋体" w:hAnsi="宋体" w:cs="宋体"/>
          <w:color w:val="auto"/>
          <w:kern w:val="10"/>
          <w:sz w:val="24"/>
          <w:highlight w:val="none"/>
          <w:shd w:val="clear" w:color="auto" w:fill="FFFFFF"/>
        </w:rPr>
        <w:t>)</w:t>
      </w:r>
      <w:r>
        <w:rPr>
          <w:rFonts w:hint="eastAsia" w:ascii="宋体" w:hAnsi="宋体" w:cs="宋体"/>
          <w:color w:val="auto"/>
          <w:kern w:val="10"/>
          <w:sz w:val="24"/>
          <w:highlight w:val="none"/>
          <w:shd w:val="clear" w:color="auto" w:fill="FFFFFF"/>
        </w:rPr>
        <w:t>：</w:t>
      </w:r>
      <w:r>
        <w:rPr>
          <w:rFonts w:hint="eastAsia" w:ascii="宋体" w:hAnsi="宋体" w:cs="宋体"/>
          <w:color w:val="auto"/>
          <w:kern w:val="10"/>
          <w:sz w:val="24"/>
          <w:highlight w:val="none"/>
          <w:u w:val="single"/>
          <w:lang w:val="en-US" w:eastAsia="zh-CN"/>
        </w:rPr>
        <w:t xml:space="preserve"> 海口市美兰区蓝天路51号京航大酒店5楼2号开标室 </w:t>
      </w:r>
    </w:p>
    <w:p>
      <w:pPr>
        <w:keepNext w:val="0"/>
        <w:keepLines w:val="0"/>
        <w:pageBreakBefore w:val="0"/>
        <w:widowControl/>
        <w:shd w:val="clear" w:color="auto" w:fill="FFFFFF"/>
        <w:kinsoku/>
        <w:wordWrap w:val="0"/>
        <w:overflowPunct/>
        <w:topLinePunct w:val="0"/>
        <w:autoSpaceDE/>
        <w:autoSpaceDN/>
        <w:bidi w:val="0"/>
        <w:adjustRightInd/>
        <w:snapToGrid/>
        <w:spacing w:after="150" w:line="360" w:lineRule="auto"/>
        <w:ind w:left="363"/>
        <w:jc w:val="left"/>
        <w:textAlignment w:val="auto"/>
        <w:rPr>
          <w:rFonts w:ascii="宋体" w:cs="宋体"/>
          <w:color w:val="auto"/>
          <w:kern w:val="10"/>
          <w:sz w:val="24"/>
          <w:highlight w:val="none"/>
        </w:rPr>
      </w:pPr>
      <w:r>
        <w:rPr>
          <w:rFonts w:ascii="宋体" w:hAnsi="宋体" w:cs="宋体"/>
          <w:color w:val="auto"/>
          <w:kern w:val="10"/>
          <w:sz w:val="24"/>
          <w:highlight w:val="none"/>
          <w:shd w:val="clear" w:color="auto" w:fill="FFFFFF"/>
        </w:rPr>
        <w:t>3</w:t>
      </w:r>
      <w:r>
        <w:rPr>
          <w:rFonts w:hint="eastAsia" w:ascii="宋体" w:hAnsi="宋体" w:cs="宋体"/>
          <w:color w:val="auto"/>
          <w:kern w:val="10"/>
          <w:sz w:val="24"/>
          <w:highlight w:val="none"/>
          <w:shd w:val="clear" w:color="auto" w:fill="FFFFFF"/>
        </w:rPr>
        <w:t>、开标时间：</w:t>
      </w:r>
      <w:r>
        <w:rPr>
          <w:rFonts w:hint="eastAsia" w:ascii="宋体" w:hAnsi="宋体" w:cs="宋体"/>
          <w:color w:val="auto"/>
          <w:kern w:val="10"/>
          <w:sz w:val="24"/>
          <w:highlight w:val="none"/>
          <w:u w:val="single"/>
          <w:shd w:val="clear" w:color="auto" w:fill="FFFFFF"/>
        </w:rPr>
        <w:t>20</w:t>
      </w:r>
      <w:r>
        <w:rPr>
          <w:rFonts w:hint="eastAsia" w:ascii="宋体" w:hAnsi="宋体" w:cs="宋体"/>
          <w:color w:val="auto"/>
          <w:kern w:val="10"/>
          <w:sz w:val="24"/>
          <w:highlight w:val="none"/>
          <w:u w:val="single"/>
          <w:shd w:val="clear" w:color="auto" w:fill="FFFFFF"/>
          <w:lang w:val="en-US" w:eastAsia="zh-CN"/>
        </w:rPr>
        <w:t>23</w:t>
      </w:r>
      <w:r>
        <w:rPr>
          <w:rFonts w:hint="eastAsia" w:ascii="宋体" w:hAnsi="宋体" w:cs="宋体"/>
          <w:color w:val="auto"/>
          <w:kern w:val="10"/>
          <w:sz w:val="24"/>
          <w:highlight w:val="none"/>
          <w:shd w:val="clear" w:color="auto" w:fill="FFFFFF"/>
          <w:lang w:val="en-US" w:eastAsia="zh-CN"/>
        </w:rPr>
        <w:t>年</w:t>
      </w:r>
      <w:r>
        <w:rPr>
          <w:rFonts w:hint="eastAsia" w:ascii="宋体" w:hAnsi="宋体" w:cs="宋体"/>
          <w:color w:val="auto"/>
          <w:kern w:val="10"/>
          <w:sz w:val="24"/>
          <w:highlight w:val="none"/>
          <w:u w:val="single"/>
          <w:shd w:val="clear" w:color="auto" w:fill="FFFFFF"/>
          <w:lang w:val="en-US" w:eastAsia="zh-CN"/>
        </w:rPr>
        <w:t>08</w:t>
      </w:r>
      <w:r>
        <w:rPr>
          <w:rFonts w:hint="eastAsia" w:ascii="宋体" w:eastAsia="宋体" w:cs="宋体"/>
          <w:color w:val="auto"/>
          <w:kern w:val="10"/>
          <w:sz w:val="24"/>
          <w:highlight w:val="none"/>
          <w:shd w:val="clear" w:color="auto" w:fill="FFFFFF"/>
          <w:lang w:eastAsia="zh-CN"/>
        </w:rPr>
        <w:t>月</w:t>
      </w:r>
      <w:r>
        <w:rPr>
          <w:rFonts w:hint="eastAsia" w:ascii="宋体" w:hAnsi="宋体" w:eastAsia="宋体" w:cs="宋体"/>
          <w:color w:val="auto"/>
          <w:kern w:val="10"/>
          <w:sz w:val="24"/>
          <w:highlight w:val="none"/>
          <w:u w:val="single"/>
          <w:shd w:val="clear" w:color="auto" w:fill="FFFFFF"/>
          <w:lang w:val="en-US" w:eastAsia="zh-CN"/>
        </w:rPr>
        <w:t>7</w:t>
      </w:r>
      <w:r>
        <w:rPr>
          <w:rFonts w:hint="eastAsia" w:ascii="宋体" w:hAnsi="宋体" w:eastAsia="宋体" w:cs="宋体"/>
          <w:color w:val="auto"/>
          <w:kern w:val="10"/>
          <w:sz w:val="24"/>
          <w:highlight w:val="none"/>
          <w:u w:val="none"/>
          <w:shd w:val="clear" w:color="auto" w:fill="FFFFFF"/>
          <w:lang w:val="en-US" w:eastAsia="zh-CN"/>
        </w:rPr>
        <w:t>日</w:t>
      </w:r>
      <w:r>
        <w:rPr>
          <w:rFonts w:hint="eastAsia" w:ascii="宋体" w:hAnsi="宋体" w:cs="宋体"/>
          <w:color w:val="auto"/>
          <w:kern w:val="10"/>
          <w:sz w:val="24"/>
          <w:highlight w:val="none"/>
          <w:u w:val="none"/>
          <w:shd w:val="clear" w:color="auto" w:fill="FFFFFF"/>
          <w:lang w:val="en-US" w:eastAsia="zh-CN"/>
        </w:rPr>
        <w:t>下午</w:t>
      </w:r>
      <w:r>
        <w:rPr>
          <w:rFonts w:hint="eastAsia" w:ascii="宋体" w:hAnsi="宋体" w:cs="宋体"/>
          <w:color w:val="auto"/>
          <w:kern w:val="10"/>
          <w:sz w:val="24"/>
          <w:highlight w:val="none"/>
          <w:u w:val="single"/>
          <w:shd w:val="clear" w:color="auto" w:fill="FFFFFF"/>
          <w:lang w:val="en-US" w:eastAsia="zh-CN"/>
        </w:rPr>
        <w:t>14</w:t>
      </w:r>
      <w:r>
        <w:rPr>
          <w:rFonts w:ascii="宋体" w:hAnsi="宋体" w:cs="宋体"/>
          <w:color w:val="auto"/>
          <w:kern w:val="10"/>
          <w:sz w:val="24"/>
          <w:highlight w:val="none"/>
          <w:u w:val="single"/>
          <w:shd w:val="clear" w:color="auto" w:fill="FFFFFF"/>
        </w:rPr>
        <w:t>:</w:t>
      </w:r>
      <w:r>
        <w:rPr>
          <w:rFonts w:hint="eastAsia" w:ascii="宋体" w:hAnsi="宋体" w:cs="宋体"/>
          <w:color w:val="auto"/>
          <w:kern w:val="10"/>
          <w:sz w:val="24"/>
          <w:highlight w:val="none"/>
          <w:u w:val="single"/>
          <w:shd w:val="clear" w:color="auto" w:fill="FFFFFF"/>
          <w:lang w:val="en-US" w:eastAsia="zh-CN"/>
        </w:rPr>
        <w:t>30</w:t>
      </w:r>
      <w:r>
        <w:rPr>
          <w:rFonts w:hint="eastAsia" w:ascii="宋体" w:hAnsi="宋体" w:cs="宋体"/>
          <w:color w:val="auto"/>
          <w:kern w:val="10"/>
          <w:sz w:val="24"/>
          <w:highlight w:val="none"/>
          <w:u w:val="single"/>
          <w:shd w:val="clear" w:color="auto" w:fill="FFFFFF"/>
        </w:rPr>
        <w:t>:00</w:t>
      </w:r>
      <w:r>
        <w:rPr>
          <w:rFonts w:hint="eastAsia" w:ascii="宋体" w:hAnsi="宋体" w:cs="宋体"/>
          <w:color w:val="auto"/>
          <w:kern w:val="10"/>
          <w:sz w:val="24"/>
          <w:highlight w:val="none"/>
          <w:shd w:val="clear" w:color="auto" w:fill="FFFFFF"/>
        </w:rPr>
        <w:t>（北京时间）</w:t>
      </w:r>
    </w:p>
    <w:p>
      <w:pPr>
        <w:keepNext w:val="0"/>
        <w:keepLines w:val="0"/>
        <w:pageBreakBefore w:val="0"/>
        <w:widowControl/>
        <w:shd w:val="clear" w:color="auto" w:fill="FFFFFF"/>
        <w:kinsoku/>
        <w:wordWrap w:val="0"/>
        <w:overflowPunct/>
        <w:topLinePunct w:val="0"/>
        <w:autoSpaceDE/>
        <w:autoSpaceDN/>
        <w:bidi w:val="0"/>
        <w:adjustRightInd/>
        <w:snapToGrid/>
        <w:spacing w:after="150" w:line="360" w:lineRule="auto"/>
        <w:ind w:left="363"/>
        <w:jc w:val="left"/>
        <w:textAlignment w:val="auto"/>
        <w:rPr>
          <w:rFonts w:hint="default" w:ascii="宋体" w:hAnsi="宋体" w:cs="宋体"/>
          <w:color w:val="auto"/>
          <w:kern w:val="10"/>
          <w:sz w:val="24"/>
          <w:highlight w:val="none"/>
          <w:shd w:val="clear" w:color="auto" w:fill="FFFFFF"/>
          <w:lang w:val="en-US"/>
        </w:rPr>
      </w:pPr>
      <w:r>
        <w:rPr>
          <w:rFonts w:ascii="宋体" w:hAnsi="宋体" w:cs="宋体"/>
          <w:color w:val="auto"/>
          <w:kern w:val="10"/>
          <w:sz w:val="24"/>
          <w:highlight w:val="none"/>
          <w:shd w:val="clear" w:color="auto" w:fill="FFFFFF"/>
        </w:rPr>
        <w:t>4</w:t>
      </w:r>
      <w:r>
        <w:rPr>
          <w:rFonts w:hint="eastAsia" w:ascii="宋体" w:hAnsi="宋体" w:cs="宋体"/>
          <w:color w:val="auto"/>
          <w:kern w:val="10"/>
          <w:sz w:val="24"/>
          <w:highlight w:val="none"/>
          <w:shd w:val="clear" w:color="auto" w:fill="FFFFFF"/>
        </w:rPr>
        <w:t>、开标地点：</w:t>
      </w:r>
      <w:r>
        <w:rPr>
          <w:rFonts w:hint="eastAsia" w:ascii="宋体" w:hAnsi="宋体" w:cs="宋体"/>
          <w:color w:val="auto"/>
          <w:kern w:val="10"/>
          <w:sz w:val="24"/>
          <w:highlight w:val="none"/>
          <w:u w:val="single"/>
          <w:lang w:val="en-US" w:eastAsia="zh-CN"/>
        </w:rPr>
        <w:t xml:space="preserve"> 海口市美兰区蓝天路51号京航大酒店5楼2号开标室</w:t>
      </w:r>
    </w:p>
    <w:p>
      <w:pPr>
        <w:keepNext w:val="0"/>
        <w:keepLines w:val="0"/>
        <w:pageBreakBefore w:val="0"/>
        <w:widowControl/>
        <w:shd w:val="clear" w:color="auto" w:fill="FFFFFF"/>
        <w:kinsoku/>
        <w:wordWrap w:val="0"/>
        <w:overflowPunct/>
        <w:topLinePunct w:val="0"/>
        <w:autoSpaceDE/>
        <w:autoSpaceDN/>
        <w:bidi w:val="0"/>
        <w:adjustRightInd/>
        <w:snapToGrid/>
        <w:spacing w:after="150" w:line="360" w:lineRule="auto"/>
        <w:ind w:left="363"/>
        <w:jc w:val="left"/>
        <w:textAlignment w:val="auto"/>
        <w:rPr>
          <w:rFonts w:ascii="宋体" w:cs="宋体"/>
          <w:color w:val="000000"/>
          <w:kern w:val="10"/>
          <w:sz w:val="24"/>
          <w:highlight w:val="none"/>
          <w:shd w:val="clear" w:color="auto" w:fill="FFFFFF"/>
        </w:rPr>
      </w:pPr>
      <w:r>
        <w:rPr>
          <w:rFonts w:ascii="宋体" w:hAnsi="宋体" w:cs="宋体"/>
          <w:color w:val="000000"/>
          <w:kern w:val="10"/>
          <w:sz w:val="24"/>
          <w:highlight w:val="none"/>
          <w:shd w:val="clear" w:color="auto" w:fill="FFFFFF"/>
        </w:rPr>
        <w:t>5</w:t>
      </w:r>
      <w:r>
        <w:rPr>
          <w:rFonts w:hint="eastAsia" w:ascii="宋体" w:hAnsi="宋体" w:cs="宋体"/>
          <w:color w:val="000000"/>
          <w:kern w:val="10"/>
          <w:sz w:val="24"/>
          <w:highlight w:val="none"/>
          <w:shd w:val="clear" w:color="auto" w:fill="FFFFFF"/>
        </w:rPr>
        <w:t>、保证金到账截止日期：</w:t>
      </w:r>
      <w:r>
        <w:rPr>
          <w:rFonts w:hint="eastAsia" w:ascii="宋体" w:hAnsi="宋体" w:cs="宋体"/>
          <w:color w:val="000000"/>
          <w:kern w:val="10"/>
          <w:sz w:val="24"/>
          <w:highlight w:val="none"/>
          <w:u w:val="single"/>
          <w:shd w:val="clear" w:color="auto" w:fill="FFFFFF"/>
          <w:lang w:eastAsia="zh-CN"/>
        </w:rPr>
        <w:t>同开标时间</w:t>
      </w:r>
      <w:r>
        <w:rPr>
          <w:rFonts w:hint="eastAsia" w:ascii="宋体" w:hAnsi="宋体" w:cs="宋体"/>
          <w:color w:val="000000"/>
          <w:kern w:val="10"/>
          <w:sz w:val="24"/>
          <w:highlight w:val="none"/>
          <w:shd w:val="clear" w:color="auto" w:fill="FFFFFF"/>
        </w:rPr>
        <w:t>（北京时间），投标保证金的形式：</w:t>
      </w:r>
      <w:r>
        <w:rPr>
          <w:rFonts w:hint="eastAsia" w:ascii="宋体" w:hAnsi="宋体" w:cs="宋体"/>
          <w:color w:val="000000"/>
          <w:kern w:val="10"/>
          <w:sz w:val="24"/>
          <w:highlight w:val="none"/>
          <w:u w:val="single"/>
          <w:shd w:val="clear" w:color="auto" w:fill="FFFFFF"/>
        </w:rPr>
        <w:t>以支票、汇票、本票、转账、银行保函支付</w:t>
      </w:r>
      <w:r>
        <w:rPr>
          <w:rFonts w:hint="eastAsia" w:ascii="宋体" w:hAnsi="宋体" w:cs="宋体"/>
          <w:color w:val="000000"/>
          <w:kern w:val="10"/>
          <w:sz w:val="24"/>
          <w:highlight w:val="none"/>
          <w:u w:val="single"/>
          <w:shd w:val="clear" w:color="auto" w:fill="FFFFFF"/>
          <w:lang w:eastAsia="zh-CN"/>
        </w:rPr>
        <w:t>等</w:t>
      </w:r>
      <w:r>
        <w:rPr>
          <w:rFonts w:hint="eastAsia" w:ascii="宋体" w:hAnsi="宋体" w:cs="宋体"/>
          <w:color w:val="000000"/>
          <w:kern w:val="10"/>
          <w:sz w:val="24"/>
          <w:highlight w:val="none"/>
          <w:u w:val="single"/>
          <w:shd w:val="clear" w:color="auto" w:fill="FFFFFF"/>
        </w:rPr>
        <w:t>形式提交</w:t>
      </w:r>
      <w:r>
        <w:rPr>
          <w:rFonts w:hint="eastAsia" w:ascii="宋体" w:hAnsi="宋体" w:cs="宋体"/>
          <w:color w:val="000000"/>
          <w:kern w:val="10"/>
          <w:sz w:val="24"/>
          <w:highlight w:val="none"/>
          <w:shd w:val="clear" w:color="auto" w:fill="FFFFFF"/>
        </w:rPr>
        <w:t>。</w:t>
      </w:r>
    </w:p>
    <w:p>
      <w:pPr>
        <w:keepNext w:val="0"/>
        <w:keepLines w:val="0"/>
        <w:pageBreakBefore w:val="0"/>
        <w:widowControl/>
        <w:shd w:val="clear" w:color="auto" w:fill="FFFFFF"/>
        <w:kinsoku/>
        <w:wordWrap w:val="0"/>
        <w:overflowPunct/>
        <w:topLinePunct w:val="0"/>
        <w:autoSpaceDE/>
        <w:autoSpaceDN/>
        <w:bidi w:val="0"/>
        <w:adjustRightInd/>
        <w:snapToGrid/>
        <w:spacing w:after="150" w:line="360" w:lineRule="auto"/>
        <w:ind w:left="363"/>
        <w:jc w:val="left"/>
        <w:textAlignment w:val="auto"/>
        <w:rPr>
          <w:rFonts w:ascii="宋体" w:cs="宋体"/>
          <w:color w:val="000000"/>
          <w:kern w:val="10"/>
          <w:sz w:val="24"/>
          <w:highlight w:val="none"/>
          <w:shd w:val="clear" w:color="auto" w:fill="FFFFFF"/>
        </w:rPr>
      </w:pPr>
      <w:r>
        <w:rPr>
          <w:rFonts w:ascii="宋体" w:hAnsi="宋体" w:cs="宋体"/>
          <w:color w:val="000000"/>
          <w:kern w:val="10"/>
          <w:sz w:val="24"/>
          <w:highlight w:val="none"/>
          <w:shd w:val="clear" w:color="auto" w:fill="FFFFFF"/>
        </w:rPr>
        <w:t>6</w:t>
      </w:r>
      <w:r>
        <w:rPr>
          <w:rFonts w:hint="eastAsia" w:ascii="宋体" w:hAnsi="宋体" w:cs="宋体"/>
          <w:color w:val="000000"/>
          <w:kern w:val="10"/>
          <w:sz w:val="24"/>
          <w:highlight w:val="none"/>
          <w:shd w:val="clear" w:color="auto" w:fill="FFFFFF"/>
        </w:rPr>
        <w:t>、公告发布媒介：</w:t>
      </w:r>
      <w:r>
        <w:rPr>
          <w:rFonts w:hint="eastAsia" w:hAnsi="宋体"/>
          <w:color w:val="000000"/>
          <w:sz w:val="24"/>
          <w:szCs w:val="24"/>
          <w:highlight w:val="none"/>
        </w:rPr>
        <w:t>海南政府采购网</w:t>
      </w:r>
      <w:r>
        <w:rPr>
          <w:rFonts w:hint="eastAsia"/>
          <w:color w:val="000000"/>
          <w:sz w:val="24"/>
          <w:szCs w:val="24"/>
          <w:highlight w:val="none"/>
        </w:rPr>
        <w:t>上以公告形式发布</w:t>
      </w:r>
    </w:p>
    <w:p>
      <w:pPr>
        <w:pageBreakBefore w:val="0"/>
        <w:widowControl/>
        <w:shd w:val="clear" w:color="auto" w:fill="FFFFFF"/>
        <w:kinsoku/>
        <w:wordWrap w:val="0"/>
        <w:topLinePunct w:val="0"/>
        <w:bidi w:val="0"/>
        <w:spacing w:before="75" w:after="150" w:line="360" w:lineRule="auto"/>
        <w:jc w:val="left"/>
        <w:rPr>
          <w:rStyle w:val="21"/>
          <w:rFonts w:hint="eastAsia" w:ascii="宋体" w:hAnsi="宋体" w:cs="宋体"/>
          <w:color w:val="000000"/>
          <w:kern w:val="10"/>
          <w:sz w:val="24"/>
          <w:highlight w:val="none"/>
          <w:shd w:val="clear" w:color="auto" w:fill="FFFFFF"/>
          <w:lang w:bidi="ar"/>
        </w:rPr>
      </w:pPr>
      <w:r>
        <w:rPr>
          <w:rStyle w:val="21"/>
          <w:rFonts w:hint="eastAsia" w:ascii="宋体" w:hAnsi="宋体" w:cs="宋体"/>
          <w:color w:val="000000"/>
          <w:kern w:val="10"/>
          <w:sz w:val="24"/>
          <w:highlight w:val="none"/>
          <w:shd w:val="clear" w:color="auto" w:fill="FFFFFF"/>
          <w:lang w:bidi="ar"/>
        </w:rPr>
        <w:t>五、联系方式</w:t>
      </w:r>
    </w:p>
    <w:p>
      <w:pPr>
        <w:keepNext w:val="0"/>
        <w:keepLines w:val="0"/>
        <w:pageBreakBefore w:val="0"/>
        <w:widowControl/>
        <w:tabs>
          <w:tab w:val="left" w:pos="4680"/>
        </w:tabs>
        <w:kinsoku/>
        <w:wordWrap/>
        <w:overflowPunct/>
        <w:topLinePunct w:val="0"/>
        <w:autoSpaceDE/>
        <w:autoSpaceDN/>
        <w:bidi w:val="0"/>
        <w:adjustRightInd/>
        <w:snapToGrid w:val="0"/>
        <w:spacing w:line="360" w:lineRule="auto"/>
        <w:ind w:firstLine="480" w:firstLineChars="200"/>
        <w:jc w:val="left"/>
        <w:textAlignment w:val="auto"/>
        <w:rPr>
          <w:rFonts w:hint="eastAsia" w:ascii="宋体" w:eastAsia="宋体" w:cs="宋体"/>
          <w:bCs/>
          <w:color w:val="000000"/>
          <w:kern w:val="10"/>
          <w:sz w:val="24"/>
          <w:szCs w:val="24"/>
          <w:highlight w:val="none"/>
          <w:u w:val="none"/>
          <w:lang w:eastAsia="zh-CN"/>
        </w:rPr>
      </w:pPr>
      <w:r>
        <w:rPr>
          <w:rFonts w:hint="eastAsia" w:ascii="宋体" w:hAnsi="宋体" w:cs="宋体"/>
          <w:bCs/>
          <w:color w:val="000000"/>
          <w:kern w:val="10"/>
          <w:sz w:val="24"/>
          <w:highlight w:val="none"/>
          <w:u w:val="none"/>
        </w:rPr>
        <w:t>采</w:t>
      </w:r>
      <w:r>
        <w:rPr>
          <w:rFonts w:hint="eastAsia" w:ascii="宋体" w:hAnsi="宋体" w:cs="宋体"/>
          <w:bCs/>
          <w:color w:val="000000"/>
          <w:kern w:val="10"/>
          <w:sz w:val="24"/>
          <w:szCs w:val="24"/>
          <w:highlight w:val="none"/>
          <w:u w:val="none"/>
        </w:rPr>
        <w:t>购人：</w:t>
      </w:r>
      <w:r>
        <w:rPr>
          <w:rFonts w:hint="eastAsia" w:ascii="宋体" w:hAnsi="宋体" w:cs="宋体"/>
          <w:b w:val="0"/>
          <w:bCs w:val="0"/>
          <w:color w:val="000000"/>
          <w:sz w:val="24"/>
          <w:szCs w:val="24"/>
          <w:u w:val="none"/>
          <w:lang w:val="en-US" w:eastAsia="zh-CN"/>
        </w:rPr>
        <w:t>白沙黎族自治县教育局</w:t>
      </w:r>
    </w:p>
    <w:p>
      <w:pPr>
        <w:keepNext w:val="0"/>
        <w:keepLines w:val="0"/>
        <w:pageBreakBefore w:val="0"/>
        <w:widowControl/>
        <w:tabs>
          <w:tab w:val="left" w:pos="4680"/>
        </w:tabs>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cs="宋体"/>
          <w:bCs/>
          <w:color w:val="000000"/>
          <w:kern w:val="10"/>
          <w:sz w:val="24"/>
          <w:szCs w:val="24"/>
          <w:highlight w:val="none"/>
          <w:u w:val="none"/>
          <w:lang w:eastAsia="zh-CN"/>
        </w:rPr>
      </w:pPr>
      <w:r>
        <w:rPr>
          <w:rFonts w:hint="eastAsia" w:ascii="宋体" w:hAnsi="宋体" w:cs="宋体"/>
          <w:bCs/>
          <w:color w:val="000000"/>
          <w:kern w:val="10"/>
          <w:sz w:val="24"/>
          <w:szCs w:val="24"/>
          <w:highlight w:val="none"/>
          <w:u w:val="none"/>
        </w:rPr>
        <w:t>地</w:t>
      </w:r>
      <w:r>
        <w:rPr>
          <w:rFonts w:ascii="宋体" w:hAnsi="宋体" w:cs="宋体"/>
          <w:bCs/>
          <w:color w:val="000000"/>
          <w:kern w:val="10"/>
          <w:sz w:val="24"/>
          <w:szCs w:val="24"/>
          <w:highlight w:val="none"/>
          <w:u w:val="none"/>
        </w:rPr>
        <w:t xml:space="preserve">  </w:t>
      </w:r>
      <w:r>
        <w:rPr>
          <w:rFonts w:hint="eastAsia" w:ascii="宋体" w:hAnsi="宋体" w:cs="宋体"/>
          <w:bCs/>
          <w:color w:val="000000"/>
          <w:kern w:val="10"/>
          <w:sz w:val="24"/>
          <w:szCs w:val="24"/>
          <w:highlight w:val="none"/>
          <w:u w:val="none"/>
        </w:rPr>
        <w:t>址：</w:t>
      </w:r>
      <w:r>
        <w:rPr>
          <w:rFonts w:hint="eastAsia" w:ascii="宋体" w:hAnsi="宋体" w:cs="宋体"/>
          <w:b w:val="0"/>
          <w:bCs w:val="0"/>
          <w:color w:val="000000"/>
          <w:sz w:val="24"/>
          <w:szCs w:val="24"/>
          <w:u w:val="none"/>
          <w:lang w:val="en-US" w:eastAsia="zh-CN"/>
        </w:rPr>
        <w:t xml:space="preserve">白沙黎族自治县教育局 </w:t>
      </w:r>
    </w:p>
    <w:p>
      <w:pPr>
        <w:keepNext w:val="0"/>
        <w:keepLines w:val="0"/>
        <w:pageBreakBefore w:val="0"/>
        <w:widowControl/>
        <w:tabs>
          <w:tab w:val="left" w:pos="4680"/>
        </w:tabs>
        <w:kinsoku/>
        <w:wordWrap/>
        <w:overflowPunct/>
        <w:topLinePunct w:val="0"/>
        <w:autoSpaceDE/>
        <w:autoSpaceDN/>
        <w:bidi w:val="0"/>
        <w:adjustRightInd/>
        <w:snapToGrid w:val="0"/>
        <w:spacing w:line="360" w:lineRule="auto"/>
        <w:ind w:firstLine="480" w:firstLineChars="200"/>
        <w:jc w:val="left"/>
        <w:textAlignment w:val="auto"/>
        <w:rPr>
          <w:rFonts w:ascii="宋体" w:cs="宋体"/>
          <w:bCs/>
          <w:color w:val="000000"/>
          <w:kern w:val="10"/>
          <w:sz w:val="24"/>
          <w:szCs w:val="24"/>
          <w:highlight w:val="none"/>
          <w:u w:val="none"/>
        </w:rPr>
      </w:pPr>
      <w:r>
        <w:rPr>
          <w:rFonts w:hint="eastAsia" w:ascii="宋体" w:hAnsi="宋体" w:cs="宋体"/>
          <w:bCs/>
          <w:color w:val="000000"/>
          <w:kern w:val="10"/>
          <w:sz w:val="24"/>
          <w:szCs w:val="24"/>
          <w:highlight w:val="none"/>
          <w:u w:val="none"/>
        </w:rPr>
        <w:t>联系人：</w:t>
      </w:r>
      <w:r>
        <w:rPr>
          <w:rFonts w:hint="eastAsia" w:ascii="宋体" w:hAnsi="宋体" w:cs="宋体"/>
          <w:bCs/>
          <w:color w:val="000000"/>
          <w:kern w:val="10"/>
          <w:sz w:val="24"/>
          <w:szCs w:val="24"/>
          <w:highlight w:val="none"/>
          <w:u w:val="none"/>
          <w:lang w:val="en-US" w:eastAsia="zh-CN"/>
        </w:rPr>
        <w:t>胡老师</w:t>
      </w:r>
      <w:r>
        <w:rPr>
          <w:rFonts w:ascii="宋体" w:hAnsi="宋体" w:cs="宋体"/>
          <w:bCs/>
          <w:color w:val="000000"/>
          <w:kern w:val="10"/>
          <w:sz w:val="24"/>
          <w:szCs w:val="24"/>
          <w:highlight w:val="none"/>
          <w:u w:val="none"/>
        </w:rPr>
        <w:t xml:space="preserve">   </w:t>
      </w:r>
    </w:p>
    <w:p>
      <w:pPr>
        <w:keepNext w:val="0"/>
        <w:keepLines w:val="0"/>
        <w:pageBreakBefore w:val="0"/>
        <w:widowControl/>
        <w:tabs>
          <w:tab w:val="left" w:pos="4680"/>
        </w:tabs>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cs="宋体"/>
          <w:bCs/>
          <w:color w:val="000000"/>
          <w:kern w:val="10"/>
          <w:sz w:val="24"/>
          <w:highlight w:val="none"/>
          <w:u w:val="none"/>
          <w:lang w:val="en-US" w:eastAsia="zh-CN"/>
        </w:rPr>
      </w:pPr>
      <w:r>
        <w:rPr>
          <w:rFonts w:hint="eastAsia" w:ascii="宋体" w:hAnsi="宋体" w:cs="宋体"/>
          <w:bCs/>
          <w:color w:val="000000"/>
          <w:kern w:val="10"/>
          <w:sz w:val="24"/>
          <w:highlight w:val="none"/>
          <w:u w:val="none"/>
        </w:rPr>
        <w:t>电</w:t>
      </w:r>
      <w:r>
        <w:rPr>
          <w:rFonts w:ascii="宋体" w:hAnsi="宋体" w:cs="宋体"/>
          <w:bCs/>
          <w:color w:val="000000"/>
          <w:kern w:val="10"/>
          <w:sz w:val="24"/>
          <w:highlight w:val="none"/>
          <w:u w:val="none"/>
        </w:rPr>
        <w:t xml:space="preserve">  </w:t>
      </w:r>
      <w:r>
        <w:rPr>
          <w:rFonts w:hint="eastAsia" w:ascii="宋体" w:hAnsi="宋体" w:cs="宋体"/>
          <w:bCs/>
          <w:color w:val="000000"/>
          <w:kern w:val="10"/>
          <w:sz w:val="24"/>
          <w:highlight w:val="none"/>
          <w:u w:val="none"/>
        </w:rPr>
        <w:t>话：</w:t>
      </w:r>
      <w:r>
        <w:rPr>
          <w:rFonts w:hint="eastAsia" w:ascii="宋体" w:hAnsi="宋体" w:cs="宋体"/>
          <w:bCs/>
          <w:color w:val="000000"/>
          <w:kern w:val="10"/>
          <w:sz w:val="24"/>
          <w:highlight w:val="none"/>
          <w:u w:val="none"/>
          <w:lang w:val="en-US" w:eastAsia="zh-CN"/>
        </w:rPr>
        <w:t>0898-27727539</w:t>
      </w:r>
    </w:p>
    <w:p>
      <w:pPr>
        <w:pStyle w:val="2"/>
        <w:pageBreakBefore w:val="0"/>
        <w:kinsoku/>
        <w:topLinePunct w:val="0"/>
        <w:bidi w:val="0"/>
        <w:spacing w:line="360" w:lineRule="auto"/>
        <w:rPr>
          <w:rFonts w:hint="default"/>
          <w:color w:val="000000"/>
          <w:lang w:val="en-US" w:eastAsia="zh-CN"/>
        </w:rPr>
      </w:pPr>
    </w:p>
    <w:p>
      <w:pPr>
        <w:keepNext w:val="0"/>
        <w:keepLines w:val="0"/>
        <w:pageBreakBefore w:val="0"/>
        <w:widowControl/>
        <w:tabs>
          <w:tab w:val="left" w:pos="4680"/>
        </w:tabs>
        <w:kinsoku/>
        <w:wordWrap/>
        <w:overflowPunct/>
        <w:topLinePunct w:val="0"/>
        <w:autoSpaceDE/>
        <w:autoSpaceDN/>
        <w:bidi w:val="0"/>
        <w:adjustRightInd/>
        <w:snapToGrid w:val="0"/>
        <w:spacing w:line="360" w:lineRule="auto"/>
        <w:ind w:firstLine="480" w:firstLineChars="200"/>
        <w:jc w:val="left"/>
        <w:textAlignment w:val="auto"/>
        <w:rPr>
          <w:rFonts w:hint="eastAsia" w:ascii="宋体" w:eastAsia="宋体" w:cs="宋体"/>
          <w:bCs/>
          <w:color w:val="000000"/>
          <w:kern w:val="10"/>
          <w:sz w:val="24"/>
          <w:highlight w:val="none"/>
          <w:u w:val="none"/>
          <w:lang w:eastAsia="zh-CN"/>
        </w:rPr>
      </w:pPr>
      <w:r>
        <w:rPr>
          <w:rFonts w:hint="eastAsia" w:ascii="宋体" w:hAnsi="宋体" w:cs="宋体"/>
          <w:bCs/>
          <w:color w:val="000000"/>
          <w:kern w:val="10"/>
          <w:sz w:val="24"/>
          <w:highlight w:val="none"/>
          <w:u w:val="none"/>
          <w:lang w:eastAsia="zh-CN"/>
        </w:rPr>
        <w:t>采购</w:t>
      </w:r>
      <w:r>
        <w:rPr>
          <w:rFonts w:hint="eastAsia" w:ascii="宋体" w:hAnsi="宋体" w:cs="宋体"/>
          <w:bCs/>
          <w:color w:val="000000"/>
          <w:kern w:val="10"/>
          <w:sz w:val="24"/>
          <w:highlight w:val="none"/>
          <w:u w:val="none"/>
        </w:rPr>
        <w:t>代理机构：</w:t>
      </w:r>
      <w:r>
        <w:rPr>
          <w:rFonts w:hint="eastAsia" w:ascii="宋体" w:hAnsi="宋体" w:cs="宋体"/>
          <w:bCs/>
          <w:color w:val="000000"/>
          <w:kern w:val="10"/>
          <w:sz w:val="24"/>
          <w:highlight w:val="none"/>
          <w:u w:val="none"/>
          <w:lang w:eastAsia="zh-CN"/>
        </w:rPr>
        <w:t>海南</w:t>
      </w:r>
      <w:r>
        <w:rPr>
          <w:rFonts w:hint="eastAsia" w:ascii="宋体" w:hAnsi="宋体" w:cs="宋体"/>
          <w:bCs/>
          <w:color w:val="000000"/>
          <w:kern w:val="10"/>
          <w:sz w:val="24"/>
          <w:highlight w:val="none"/>
          <w:u w:val="none"/>
          <w:lang w:val="en-US" w:eastAsia="zh-CN"/>
        </w:rPr>
        <w:t>珑宸</w:t>
      </w:r>
      <w:r>
        <w:rPr>
          <w:rFonts w:hint="eastAsia" w:ascii="宋体" w:hAnsi="宋体" w:cs="宋体"/>
          <w:bCs/>
          <w:color w:val="000000"/>
          <w:kern w:val="10"/>
          <w:sz w:val="24"/>
          <w:highlight w:val="none"/>
          <w:u w:val="none"/>
          <w:lang w:eastAsia="zh-CN"/>
        </w:rPr>
        <w:t>项目管理有限公司</w:t>
      </w:r>
    </w:p>
    <w:p>
      <w:pPr>
        <w:keepNext w:val="0"/>
        <w:keepLines w:val="0"/>
        <w:pageBreakBefore w:val="0"/>
        <w:widowControl/>
        <w:tabs>
          <w:tab w:val="left" w:pos="4680"/>
        </w:tabs>
        <w:kinsoku/>
        <w:wordWrap/>
        <w:overflowPunct/>
        <w:topLinePunct w:val="0"/>
        <w:autoSpaceDE/>
        <w:autoSpaceDN/>
        <w:bidi w:val="0"/>
        <w:adjustRightInd/>
        <w:snapToGrid w:val="0"/>
        <w:spacing w:line="360" w:lineRule="auto"/>
        <w:ind w:firstLine="480" w:firstLineChars="200"/>
        <w:jc w:val="left"/>
        <w:textAlignment w:val="auto"/>
        <w:rPr>
          <w:rFonts w:hint="default" w:ascii="宋体" w:hAnsi="宋体" w:cs="宋体"/>
          <w:bCs/>
          <w:color w:val="000000"/>
          <w:kern w:val="10"/>
          <w:sz w:val="24"/>
          <w:highlight w:val="none"/>
          <w:u w:val="none"/>
          <w:lang w:val="en-US" w:eastAsia="zh-CN"/>
        </w:rPr>
      </w:pPr>
      <w:r>
        <w:rPr>
          <w:rFonts w:hint="eastAsia" w:ascii="宋体" w:hAnsi="宋体" w:cs="宋体"/>
          <w:bCs/>
          <w:color w:val="000000"/>
          <w:kern w:val="10"/>
          <w:sz w:val="24"/>
          <w:highlight w:val="none"/>
          <w:u w:val="none"/>
        </w:rPr>
        <w:t>地</w:t>
      </w:r>
      <w:r>
        <w:rPr>
          <w:rFonts w:ascii="宋体" w:hAnsi="宋体" w:cs="宋体"/>
          <w:bCs/>
          <w:color w:val="000000"/>
          <w:kern w:val="10"/>
          <w:sz w:val="24"/>
          <w:highlight w:val="none"/>
          <w:u w:val="none"/>
        </w:rPr>
        <w:t xml:space="preserve">  </w:t>
      </w:r>
      <w:r>
        <w:rPr>
          <w:rFonts w:hint="eastAsia" w:ascii="宋体" w:hAnsi="宋体" w:cs="宋体"/>
          <w:bCs/>
          <w:color w:val="000000"/>
          <w:kern w:val="10"/>
          <w:sz w:val="24"/>
          <w:highlight w:val="none"/>
          <w:u w:val="none"/>
        </w:rPr>
        <w:t>址：</w:t>
      </w:r>
      <w:r>
        <w:rPr>
          <w:rFonts w:hint="eastAsia" w:ascii="宋体" w:hAnsi="宋体" w:cs="宋体"/>
          <w:color w:val="000000"/>
          <w:kern w:val="10"/>
          <w:sz w:val="24"/>
          <w:highlight w:val="none"/>
          <w:u w:val="none"/>
          <w:lang w:val="en-US" w:eastAsia="zh-CN"/>
        </w:rPr>
        <w:t>海南省海口市美兰区美苑路美舍嘉苑1栋A单元1502房</w:t>
      </w:r>
      <w:r>
        <w:rPr>
          <w:rFonts w:hint="eastAsia" w:ascii="宋体" w:hAnsi="宋体" w:cs="宋体"/>
          <w:bCs/>
          <w:color w:val="000000"/>
          <w:kern w:val="10"/>
          <w:sz w:val="24"/>
          <w:highlight w:val="none"/>
          <w:u w:val="none"/>
          <w:lang w:val="en-US" w:eastAsia="zh-CN"/>
        </w:rPr>
        <w:tab/>
      </w:r>
    </w:p>
    <w:p>
      <w:pPr>
        <w:keepNext w:val="0"/>
        <w:keepLines w:val="0"/>
        <w:pageBreakBefore w:val="0"/>
        <w:widowControl/>
        <w:tabs>
          <w:tab w:val="left" w:pos="4680"/>
        </w:tabs>
        <w:kinsoku/>
        <w:wordWrap/>
        <w:overflowPunct/>
        <w:topLinePunct w:val="0"/>
        <w:autoSpaceDE/>
        <w:autoSpaceDN/>
        <w:bidi w:val="0"/>
        <w:adjustRightInd/>
        <w:snapToGrid w:val="0"/>
        <w:spacing w:line="360" w:lineRule="auto"/>
        <w:ind w:firstLine="480" w:firstLineChars="200"/>
        <w:jc w:val="left"/>
        <w:textAlignment w:val="auto"/>
        <w:rPr>
          <w:rFonts w:hint="eastAsia" w:ascii="宋体" w:eastAsia="宋体" w:cs="宋体"/>
          <w:bCs/>
          <w:color w:val="000000"/>
          <w:kern w:val="10"/>
          <w:sz w:val="24"/>
          <w:highlight w:val="none"/>
          <w:u w:val="none"/>
          <w:lang w:val="en-US" w:eastAsia="zh-CN"/>
        </w:rPr>
      </w:pPr>
      <w:r>
        <w:rPr>
          <w:rFonts w:hint="eastAsia" w:ascii="宋体" w:hAnsi="宋体" w:cs="宋体"/>
          <w:bCs/>
          <w:color w:val="000000"/>
          <w:kern w:val="10"/>
          <w:sz w:val="24"/>
          <w:highlight w:val="none"/>
          <w:u w:val="none"/>
        </w:rPr>
        <w:t>联系人：</w:t>
      </w:r>
      <w:r>
        <w:rPr>
          <w:rFonts w:hint="eastAsia" w:ascii="宋体" w:hAnsi="宋体" w:cs="宋体"/>
          <w:bCs/>
          <w:color w:val="000000"/>
          <w:kern w:val="10"/>
          <w:sz w:val="24"/>
          <w:highlight w:val="none"/>
          <w:u w:val="none"/>
          <w:lang w:val="en-US" w:eastAsia="zh-CN"/>
        </w:rPr>
        <w:t>谢工</w:t>
      </w:r>
    </w:p>
    <w:p>
      <w:pPr>
        <w:keepNext w:val="0"/>
        <w:keepLines w:val="0"/>
        <w:pageBreakBefore w:val="0"/>
        <w:widowControl/>
        <w:tabs>
          <w:tab w:val="left" w:pos="4680"/>
        </w:tabs>
        <w:kinsoku/>
        <w:wordWrap/>
        <w:overflowPunct/>
        <w:topLinePunct w:val="0"/>
        <w:autoSpaceDE/>
        <w:autoSpaceDN/>
        <w:bidi w:val="0"/>
        <w:adjustRightInd/>
        <w:snapToGrid w:val="0"/>
        <w:spacing w:line="360" w:lineRule="auto"/>
        <w:ind w:firstLine="480" w:firstLineChars="200"/>
        <w:jc w:val="left"/>
        <w:textAlignment w:val="auto"/>
        <w:rPr>
          <w:rFonts w:hint="default" w:ascii="宋体" w:hAnsi="宋体" w:eastAsia="宋体" w:cs="宋体"/>
          <w:bCs/>
          <w:color w:val="000000"/>
          <w:kern w:val="10"/>
          <w:sz w:val="24"/>
          <w:highlight w:val="none"/>
          <w:lang w:val="en-US" w:eastAsia="zh-CN"/>
        </w:rPr>
      </w:pPr>
      <w:bookmarkStart w:id="1" w:name="_Toc317237598"/>
      <w:r>
        <w:rPr>
          <w:rFonts w:hint="eastAsia" w:ascii="宋体" w:hAnsi="宋体" w:cs="宋体"/>
          <w:bCs/>
          <w:color w:val="000000"/>
          <w:kern w:val="10"/>
          <w:sz w:val="24"/>
          <w:highlight w:val="none"/>
        </w:rPr>
        <w:t>电  话：</w:t>
      </w:r>
      <w:r>
        <w:rPr>
          <w:rFonts w:hint="eastAsia" w:ascii="宋体" w:hAnsi="宋体" w:cs="宋体"/>
          <w:bCs/>
          <w:color w:val="000000"/>
          <w:kern w:val="10"/>
          <w:sz w:val="24"/>
          <w:highlight w:val="none"/>
          <w:lang w:val="en-US" w:eastAsia="zh-CN"/>
        </w:rPr>
        <w:t>0898-36330097</w:t>
      </w:r>
    </w:p>
    <w:p>
      <w:pPr>
        <w:keepNext w:val="0"/>
        <w:keepLines w:val="0"/>
        <w:pageBreakBefore w:val="0"/>
        <w:widowControl/>
        <w:numPr>
          <w:ilvl w:val="0"/>
          <w:numId w:val="2"/>
        </w:numPr>
        <w:tabs>
          <w:tab w:val="left" w:pos="4680"/>
        </w:tabs>
        <w:kinsoku/>
        <w:wordWrap/>
        <w:overflowPunct/>
        <w:topLinePunct w:val="0"/>
        <w:autoSpaceDE/>
        <w:autoSpaceDN/>
        <w:bidi w:val="0"/>
        <w:adjustRightInd/>
        <w:snapToGrid w:val="0"/>
        <w:spacing w:line="360" w:lineRule="auto"/>
        <w:jc w:val="center"/>
        <w:textAlignment w:val="auto"/>
        <w:outlineLvl w:val="0"/>
        <w:rPr>
          <w:rFonts w:hint="eastAsia"/>
          <w:b/>
          <w:color w:val="000000"/>
          <w:sz w:val="48"/>
          <w:szCs w:val="48"/>
          <w:highlight w:val="none"/>
          <w:lang w:val="en-US" w:eastAsia="zh-CN"/>
        </w:rPr>
      </w:pPr>
      <w:bookmarkStart w:id="2" w:name="_Toc12841"/>
      <w:r>
        <w:rPr>
          <w:rFonts w:hint="eastAsia"/>
          <w:b/>
          <w:color w:val="000000"/>
          <w:sz w:val="48"/>
          <w:szCs w:val="48"/>
          <w:highlight w:val="none"/>
        </w:rPr>
        <w:br w:type="page"/>
      </w:r>
      <w:r>
        <w:rPr>
          <w:rFonts w:hint="eastAsia"/>
          <w:b/>
          <w:color w:val="000000"/>
          <w:sz w:val="48"/>
          <w:szCs w:val="48"/>
          <w:highlight w:val="none"/>
        </w:rPr>
        <w:t xml:space="preserve"> </w:t>
      </w:r>
      <w:r>
        <w:rPr>
          <w:rFonts w:hint="eastAsia"/>
          <w:b/>
          <w:color w:val="000000"/>
          <w:sz w:val="48"/>
          <w:szCs w:val="48"/>
          <w:highlight w:val="none"/>
          <w:lang w:val="en-US" w:eastAsia="zh-CN"/>
        </w:rPr>
        <w:t>采购需求</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GB" w:eastAsia="zh-CN"/>
        </w:rPr>
      </w:pPr>
      <w:r>
        <w:rPr>
          <w:rFonts w:hint="eastAsia" w:ascii="宋体" w:hAnsi="宋体" w:eastAsia="宋体" w:cs="宋体"/>
          <w:color w:val="000000"/>
          <w:sz w:val="24"/>
          <w:highlight w:val="none"/>
          <w:lang w:val="en-GB" w:eastAsia="zh-CN"/>
        </w:rPr>
        <w:t>一、项目名称：</w:t>
      </w:r>
      <w:r>
        <w:rPr>
          <w:rFonts w:hint="eastAsia" w:ascii="宋体" w:hAnsi="宋体" w:eastAsia="宋体" w:cs="宋体"/>
          <w:color w:val="000000"/>
          <w:sz w:val="24"/>
          <w:highlight w:val="none"/>
          <w:lang w:val="en-US" w:eastAsia="zh-CN"/>
        </w:rPr>
        <w:t>2023年白沙县学前教育普及普惠项目-东片区校舍维修、绿化等附属工程</w:t>
      </w:r>
      <w:r>
        <w:rPr>
          <w:rFonts w:hint="eastAsia" w:ascii="宋体" w:hAnsi="宋体" w:eastAsia="宋体" w:cs="宋体"/>
          <w:color w:val="000000"/>
          <w:sz w:val="24"/>
          <w:highlight w:val="none"/>
          <w:lang w:val="en-GB" w:eastAsia="zh-CN"/>
        </w:rPr>
        <w:t>；</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GB" w:eastAsia="zh-CN"/>
        </w:rPr>
      </w:pPr>
      <w:r>
        <w:rPr>
          <w:rFonts w:hint="eastAsia" w:ascii="宋体" w:hAnsi="宋体" w:eastAsia="宋体" w:cs="宋体"/>
          <w:color w:val="000000"/>
          <w:sz w:val="24"/>
          <w:highlight w:val="none"/>
          <w:lang w:val="en-GB" w:eastAsia="zh-CN"/>
        </w:rPr>
        <w:t>二、项目编号：</w:t>
      </w:r>
      <w:r>
        <w:rPr>
          <w:rFonts w:hint="eastAsia" w:ascii="宋体" w:hAnsi="宋体" w:eastAsia="宋体" w:cs="宋体"/>
          <w:color w:val="000000"/>
          <w:sz w:val="24"/>
          <w:highlight w:val="none"/>
          <w:lang w:val="en-US" w:eastAsia="zh-CN"/>
        </w:rPr>
        <w:t>HNLC-2023[12]</w:t>
      </w:r>
      <w:r>
        <w:rPr>
          <w:rFonts w:hint="eastAsia" w:ascii="宋体" w:hAnsi="宋体" w:eastAsia="宋体" w:cs="宋体"/>
          <w:color w:val="000000"/>
          <w:sz w:val="24"/>
          <w:highlight w:val="none"/>
          <w:lang w:val="en-GB" w:eastAsia="zh-CN"/>
        </w:rPr>
        <w:t>；</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GB" w:eastAsia="zh-CN"/>
        </w:rPr>
      </w:pPr>
      <w:r>
        <w:rPr>
          <w:rFonts w:hint="eastAsia" w:ascii="宋体" w:hAnsi="宋体" w:eastAsia="宋体" w:cs="宋体"/>
          <w:color w:val="000000"/>
          <w:sz w:val="24"/>
          <w:highlight w:val="none"/>
          <w:lang w:val="en-GB" w:eastAsia="zh-CN"/>
        </w:rPr>
        <w:t>三、预算金额：</w:t>
      </w:r>
      <w:r>
        <w:rPr>
          <w:rFonts w:hint="eastAsia" w:ascii="宋体" w:hAnsi="宋体" w:eastAsia="宋体" w:cs="宋体"/>
          <w:color w:val="000000"/>
          <w:sz w:val="24"/>
          <w:highlight w:val="none"/>
          <w:lang w:val="en-US" w:eastAsia="zh-CN"/>
        </w:rPr>
        <w:t>￥</w:t>
      </w:r>
      <w:r>
        <w:rPr>
          <w:rFonts w:hint="eastAsia" w:ascii="宋体" w:hAnsi="宋体" w:eastAsia="宋体" w:cs="宋体"/>
          <w:color w:val="000000"/>
          <w:sz w:val="24"/>
          <w:szCs w:val="24"/>
          <w:highlight w:val="none"/>
          <w:u w:val="none"/>
          <w:lang w:val="en-US" w:eastAsia="zh-CN"/>
        </w:rPr>
        <w:t>2175272.2</w:t>
      </w:r>
      <w:r>
        <w:rPr>
          <w:rFonts w:hint="eastAsia" w:ascii="宋体" w:hAnsi="宋体" w:eastAsia="宋体" w:cs="宋体"/>
          <w:color w:val="000000"/>
          <w:sz w:val="24"/>
          <w:highlight w:val="none"/>
          <w:lang w:val="en-US" w:eastAsia="zh-CN"/>
        </w:rPr>
        <w:t>元，其中工程类（A）包最高限价为：￥1525010.86；工程类B包最高限价最高限价为：￥650261.31元。超出采购预算金额（最高限价）的投标，按无效投标处理；</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auto"/>
          <w:sz w:val="24"/>
          <w:highlight w:val="none"/>
          <w:lang w:val="en-GB" w:eastAsia="zh-CN"/>
        </w:rPr>
      </w:pPr>
      <w:r>
        <w:rPr>
          <w:rFonts w:hint="eastAsia" w:ascii="宋体" w:hAnsi="宋体" w:eastAsia="宋体" w:cs="宋体"/>
          <w:color w:val="auto"/>
          <w:sz w:val="24"/>
          <w:highlight w:val="none"/>
          <w:lang w:val="en-GB" w:eastAsia="zh-CN"/>
        </w:rPr>
        <w:t>四、</w:t>
      </w:r>
      <w:r>
        <w:rPr>
          <w:rFonts w:hint="eastAsia" w:ascii="宋体" w:hAnsi="宋体" w:eastAsia="宋体" w:cs="宋体"/>
          <w:color w:val="auto"/>
          <w:sz w:val="24"/>
          <w:highlight w:val="none"/>
          <w:lang w:val="en-US" w:eastAsia="zh-CN"/>
        </w:rPr>
        <w:t>施工工期</w:t>
      </w:r>
      <w:r>
        <w:rPr>
          <w:rFonts w:hint="eastAsia" w:ascii="宋体" w:hAnsi="宋体" w:eastAsia="宋体" w:cs="宋体"/>
          <w:color w:val="auto"/>
          <w:sz w:val="24"/>
          <w:highlight w:val="none"/>
          <w:lang w:val="en-GB" w:eastAsia="zh-CN"/>
        </w:rPr>
        <w:t>：</w:t>
      </w:r>
      <w:r>
        <w:rPr>
          <w:rFonts w:hint="eastAsia" w:ascii="宋体" w:hAnsi="宋体" w:eastAsia="宋体" w:cs="宋体"/>
          <w:color w:val="auto"/>
          <w:sz w:val="24"/>
          <w:highlight w:val="none"/>
          <w:lang w:val="en-US" w:eastAsia="zh-CN"/>
        </w:rPr>
        <w:t>90日历天</w:t>
      </w:r>
      <w:r>
        <w:rPr>
          <w:rFonts w:hint="eastAsia" w:ascii="宋体" w:hAnsi="宋体" w:eastAsia="宋体" w:cs="宋体"/>
          <w:color w:val="auto"/>
          <w:sz w:val="24"/>
          <w:highlight w:val="none"/>
          <w:lang w:val="en-GB" w:eastAsia="zh-CN"/>
        </w:rPr>
        <w:t>；</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GB" w:eastAsia="zh-CN"/>
        </w:rPr>
      </w:pPr>
      <w:r>
        <w:rPr>
          <w:rFonts w:hint="eastAsia" w:ascii="宋体" w:hAnsi="宋体" w:eastAsia="宋体" w:cs="宋体"/>
          <w:color w:val="000000"/>
          <w:sz w:val="24"/>
          <w:highlight w:val="none"/>
          <w:lang w:val="en-US" w:eastAsia="zh-CN"/>
        </w:rPr>
        <w:t>五</w:t>
      </w:r>
      <w:r>
        <w:rPr>
          <w:rFonts w:hint="eastAsia" w:ascii="宋体" w:hAnsi="宋体" w:eastAsia="宋体" w:cs="宋体"/>
          <w:color w:val="000000"/>
          <w:sz w:val="24"/>
          <w:highlight w:val="none"/>
          <w:lang w:val="en-GB" w:eastAsia="zh-CN"/>
        </w:rPr>
        <w:t>、</w:t>
      </w:r>
      <w:r>
        <w:rPr>
          <w:rFonts w:hint="eastAsia" w:ascii="宋体" w:hAnsi="宋体" w:eastAsia="宋体" w:cs="宋体"/>
          <w:color w:val="000000"/>
          <w:sz w:val="24"/>
          <w:highlight w:val="none"/>
          <w:lang w:val="en-US" w:eastAsia="zh-CN"/>
        </w:rPr>
        <w:t>项目</w:t>
      </w:r>
      <w:r>
        <w:rPr>
          <w:rFonts w:hint="eastAsia" w:ascii="宋体" w:hAnsi="宋体" w:eastAsia="宋体" w:cs="宋体"/>
          <w:color w:val="000000"/>
          <w:sz w:val="24"/>
          <w:highlight w:val="none"/>
          <w:lang w:val="en-GB" w:eastAsia="zh-CN"/>
        </w:rPr>
        <w:t>地点：</w:t>
      </w:r>
      <w:r>
        <w:rPr>
          <w:rFonts w:hint="eastAsia" w:ascii="宋体" w:hAnsi="宋体" w:eastAsia="宋体" w:cs="宋体"/>
          <w:color w:val="000000"/>
          <w:sz w:val="24"/>
          <w:highlight w:val="none"/>
          <w:lang w:val="en-US" w:eastAsia="zh-CN"/>
        </w:rPr>
        <w:t>白沙县东片区</w:t>
      </w:r>
      <w:r>
        <w:rPr>
          <w:rFonts w:hint="eastAsia" w:ascii="宋体" w:hAnsi="宋体" w:eastAsia="宋体" w:cs="宋体"/>
          <w:color w:val="000000"/>
          <w:sz w:val="24"/>
          <w:highlight w:val="none"/>
          <w:lang w:val="en-GB" w:eastAsia="zh-CN"/>
        </w:rPr>
        <w:t>；</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GB" w:eastAsia="zh-CN"/>
        </w:rPr>
      </w:pPr>
      <w:r>
        <w:rPr>
          <w:rFonts w:hint="eastAsia" w:ascii="宋体" w:hAnsi="宋体" w:eastAsia="宋体" w:cs="宋体"/>
          <w:color w:val="000000"/>
          <w:sz w:val="24"/>
          <w:highlight w:val="none"/>
          <w:lang w:val="en-GB" w:eastAsia="zh-CN"/>
        </w:rPr>
        <w:t>六、</w:t>
      </w:r>
      <w:r>
        <w:rPr>
          <w:rFonts w:hint="eastAsia" w:ascii="宋体" w:hAnsi="宋体" w:eastAsia="宋体" w:cs="宋体"/>
          <w:color w:val="000000"/>
          <w:sz w:val="24"/>
          <w:highlight w:val="none"/>
          <w:lang w:val="en-US" w:eastAsia="zh-CN"/>
        </w:rPr>
        <w:t>招标</w:t>
      </w:r>
      <w:r>
        <w:rPr>
          <w:rFonts w:hint="eastAsia" w:ascii="宋体" w:hAnsi="宋体" w:eastAsia="宋体" w:cs="宋体"/>
          <w:color w:val="000000"/>
          <w:sz w:val="24"/>
          <w:highlight w:val="none"/>
          <w:lang w:val="en-GB" w:eastAsia="zh-CN"/>
        </w:rPr>
        <w:t>范围及要求:</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A包：（一）白沙农场幼儿园改造内容：</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1、新增室外铺设草坪绿化503.66m。</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2、教学楼室内内墙、天棚、楼梯间拆除原有涂料，并进行翻新粉刷1600m。</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3、室外新增成品防腐三层实木网格花架53个，盆栽绿植155株。</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(二)南开乡幼儿园改造内容：</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1、幼儿园教学楼内外墙：粉刷567.5m(内墙)，567.5m2(外墙)。</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2、绿化增加278m。</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(三)细水乡中心幼儿园改造内容：</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1、教学楼粉刷：655.9m（内墙)，655.9m(外墙)。2、教师宿舍内外墙粉刷：234.23m(内墙)，234.23m(外墙)。</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(四)县第二机关幼儿园改造内容：</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1、新增室外铺设草坪绿化278.85m。</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2、教学楼室内内墙、天棚、楼梯间拆除原有涂料，并进行翻新粉刷1104.61m。</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3、更换教学楼室内教室门</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(1)更换成品平开门2扇(1500*2100)。</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(2)更换成品内开门10扇(1200*2400，带观测窗)。</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(五)牙叉镇中心幼儿园改造内容：</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1、教学楼（补漏）、宿舍楼内墙粉刷1606.64m。</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(六)元门乡幼儿园改造内容：</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教学楼外墙粉刷2300m、内墙粉刷1800m。</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2、食堂4扇门(3大一小)，小(1500*2100)，大(1200*2400)。</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3、教师宿舍楼电路改造。</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B包：(一)邦溪农场幼儿园改造内容：</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1、教学楼室内内墙、天棚、楼梯间部分性拆除原有涂料，并进行翻新粉刷总面积550m。</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2、新增种植草皮绿化295.60m。</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3、学生宿舍室外走廊处新增防腐木花箱15m(每个/长</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150CM*宽60CM*高60CM)及附带绿植。</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(二)邦溪镇中心幼儿园改造内容：</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1、教学楼室内内墙、天棚、楼梯间部分性拆除原有涂料，并进行翻新粉刷总面积378m。</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2、食堂室内内墙、天棚部分性拆除原有涂料，并进行翻新粉刷，总面积230m。</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3、校门口、保安室及围墙外立面部分性拆除原有涂料，并进行翻新粉刷，总面积500m。</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4、新增种植草皮绿化137.58m2。</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(三)大岭幼儿园改造内容：</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1、教学楼室内内墙、天棚、楼梯间部分性拆除原有涂料，并进行翻新粉刷总面积479.94m。</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2、新增种植草皮绿化165m。</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3、教学楼室外活动区新种植6颗小叶榄仁树。</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(四)芙蓉田幼儿园改造内容：</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1、教学楼室内内墙、天棚、楼梯间、教师办公室室内部分性拆除原有涂料，并进行翻新粉刷总面积600m。</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2、新增种植草皮绿化214.17m。</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3、教学楼室外活动区拆除原有园区110镀锌钢管柱子3根。</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4、教学楼室外活动区新种植3颗小叶榄仁树。</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5、教学楼室内走廊处新增防腐木花箱30m(每个/长150CM*宽60CM*高60CM)及附带绿植。</w:t>
      </w:r>
    </w:p>
    <w:p>
      <w:pPr>
        <w:keepNext w:val="0"/>
        <w:keepLines w:val="0"/>
        <w:pageBreakBefore w:val="0"/>
        <w:widowControl w:val="0"/>
        <w:kinsoku/>
        <w:wordWrap/>
        <w:overflowPunct/>
        <w:topLinePunct w:val="0"/>
        <w:autoSpaceDE/>
        <w:autoSpaceDN/>
        <w:bidi w:val="0"/>
        <w:adjustRightInd/>
        <w:snapToGrid/>
        <w:spacing w:line="360" w:lineRule="auto"/>
        <w:ind w:right="-483" w:rightChars="-23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(五)荣邦乡第二幼儿园改造内容：</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1、二至三层走廊增加铝合金窗，数量、规格详见窗户大样平面图。</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2、新增种植草皮绿化69.68m,新建路缘石长40m。</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3、新增防腐木花箱92m(每个/长150CM*宽60CM*高60CM)及附带绿植。</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br w:type="page"/>
      </w:r>
      <w:r>
        <w:rPr>
          <w:rFonts w:hint="eastAsia" w:ascii="宋体" w:hAnsi="宋体" w:eastAsia="宋体" w:cs="宋体"/>
          <w:color w:val="000000"/>
          <w:sz w:val="24"/>
          <w:highlight w:val="none"/>
          <w:lang w:val="en-US" w:eastAsia="zh-CN"/>
        </w:rPr>
        <w:t>(六)荣邦乡中心幼儿园改造内容：</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1、教学楼室内内墙、天棚、楼梯间、教师宿舍、学生宿舍部分性拆除原有涂料，并进行翻新粉刷总面积410m。</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2、新增种植草皮绿化388m。</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3、教学楼室内卫生间替换一至三层卫生间成品马桶水箱12个。</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4、教学楼室内卫生间替换一至三层卫生间马桶挡板12扇。</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5、教学楼室内卫生间替换一至三层卫生间门（成品塑钢门900×2100)6扇。</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6、教学楼室内卫生间替换成品小便池冲水开关24个。</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7、教学楼室内卫生间替换成品水龙头36个。</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8、教学楼室内替换成品电风扇及开关18个。</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9、宿舍室内拆除原有部分地板及修复面积21.33m。</w:t>
      </w: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424" w:leftChars="-202" w:right="-483" w:rightChars="-230" w:firstLine="480" w:firstLineChars="200"/>
        <w:textAlignment w:val="auto"/>
        <w:rPr>
          <w:rFonts w:hint="eastAsia" w:ascii="宋体" w:hAnsi="宋体" w:eastAsia="宋体" w:cs="宋体"/>
          <w:color w:val="000000"/>
          <w:sz w:val="24"/>
          <w:highlight w:val="none"/>
          <w:lang w:val="en-US" w:eastAsia="zh-CN"/>
        </w:rPr>
      </w:pPr>
    </w:p>
    <w:p>
      <w:pPr>
        <w:pageBreakBefore w:val="0"/>
        <w:kinsoku/>
        <w:topLinePunct w:val="0"/>
        <w:bidi w:val="0"/>
        <w:spacing w:line="360" w:lineRule="auto"/>
        <w:rPr>
          <w:rFonts w:hint="eastAsia"/>
          <w:lang w:val="en-US" w:eastAsia="zh-CN"/>
        </w:rPr>
      </w:pPr>
    </w:p>
    <w:p>
      <w:pPr>
        <w:pageBreakBefore w:val="0"/>
        <w:kinsoku/>
        <w:topLinePunct w:val="0"/>
        <w:bidi w:val="0"/>
        <w:spacing w:line="360" w:lineRule="auto"/>
        <w:rPr>
          <w:rFonts w:hint="default"/>
          <w:lang w:val="en-US" w:eastAsia="zh-CN"/>
        </w:rPr>
      </w:pPr>
    </w:p>
    <w:p>
      <w:pPr>
        <w:pageBreakBefore w:val="0"/>
        <w:kinsoku/>
        <w:topLinePunct w:val="0"/>
        <w:bidi w:val="0"/>
        <w:spacing w:line="360" w:lineRule="auto"/>
        <w:rPr>
          <w:rFonts w:hint="default"/>
          <w:lang w:val="en-US" w:eastAsia="zh-CN"/>
        </w:rPr>
      </w:pPr>
    </w:p>
    <w:p>
      <w:pPr>
        <w:keepNext w:val="0"/>
        <w:keepLines w:val="0"/>
        <w:pageBreakBefore w:val="0"/>
        <w:widowControl/>
        <w:numPr>
          <w:ilvl w:val="0"/>
          <w:numId w:val="2"/>
        </w:numPr>
        <w:tabs>
          <w:tab w:val="left" w:pos="4680"/>
        </w:tabs>
        <w:kinsoku/>
        <w:wordWrap/>
        <w:overflowPunct/>
        <w:topLinePunct w:val="0"/>
        <w:autoSpaceDE/>
        <w:autoSpaceDN/>
        <w:bidi w:val="0"/>
        <w:adjustRightInd/>
        <w:snapToGrid w:val="0"/>
        <w:spacing w:line="360" w:lineRule="auto"/>
        <w:jc w:val="center"/>
        <w:textAlignment w:val="auto"/>
        <w:outlineLvl w:val="0"/>
        <w:rPr>
          <w:rFonts w:hint="eastAsia"/>
          <w:b/>
          <w:color w:val="000000"/>
          <w:sz w:val="48"/>
          <w:szCs w:val="48"/>
          <w:highlight w:val="none"/>
        </w:rPr>
      </w:pPr>
      <w:r>
        <w:rPr>
          <w:rFonts w:hint="eastAsia"/>
          <w:b/>
          <w:color w:val="000000"/>
          <w:sz w:val="48"/>
          <w:szCs w:val="48"/>
          <w:highlight w:val="none"/>
        </w:rPr>
        <w:br w:type="page"/>
      </w:r>
      <w:r>
        <w:rPr>
          <w:rFonts w:hint="eastAsia"/>
          <w:b/>
          <w:color w:val="000000"/>
          <w:sz w:val="48"/>
          <w:szCs w:val="48"/>
          <w:highlight w:val="none"/>
        </w:rPr>
        <w:t xml:space="preserve">第二部分  </w:t>
      </w:r>
      <w:r>
        <w:rPr>
          <w:rFonts w:hint="eastAsia"/>
          <w:b/>
          <w:color w:val="000000"/>
          <w:sz w:val="48"/>
          <w:szCs w:val="48"/>
          <w:highlight w:val="none"/>
          <w:lang w:eastAsia="zh-CN"/>
        </w:rPr>
        <w:t>供应商</w:t>
      </w:r>
      <w:r>
        <w:rPr>
          <w:rFonts w:hint="eastAsia"/>
          <w:b/>
          <w:color w:val="000000"/>
          <w:sz w:val="48"/>
          <w:szCs w:val="48"/>
          <w:highlight w:val="none"/>
        </w:rPr>
        <w:t>须知</w:t>
      </w:r>
      <w:bookmarkEnd w:id="1"/>
      <w:bookmarkEnd w:id="2"/>
    </w:p>
    <w:p>
      <w:pPr>
        <w:pageBreakBefore w:val="0"/>
        <w:tabs>
          <w:tab w:val="left" w:pos="540"/>
          <w:tab w:val="left" w:pos="720"/>
        </w:tabs>
        <w:kinsoku/>
        <w:topLinePunct w:val="0"/>
        <w:bidi w:val="0"/>
        <w:spacing w:before="100" w:beforeAutospacing="1" w:after="100" w:afterAutospacing="1" w:line="360" w:lineRule="auto"/>
        <w:jc w:val="center"/>
        <w:outlineLvl w:val="9"/>
        <w:rPr>
          <w:rFonts w:hint="eastAsia"/>
          <w:b/>
          <w:color w:val="000000"/>
          <w:sz w:val="36"/>
          <w:szCs w:val="36"/>
          <w:highlight w:val="none"/>
        </w:rPr>
      </w:pPr>
      <w:bookmarkStart w:id="3" w:name="_Toc26771"/>
      <w:r>
        <w:rPr>
          <w:rFonts w:hint="eastAsia"/>
          <w:b/>
          <w:color w:val="000000"/>
          <w:sz w:val="36"/>
          <w:szCs w:val="36"/>
          <w:highlight w:val="none"/>
          <w:lang w:eastAsia="zh-CN"/>
        </w:rPr>
        <w:t>供应商</w:t>
      </w:r>
      <w:r>
        <w:rPr>
          <w:rFonts w:hint="eastAsia"/>
          <w:b/>
          <w:color w:val="000000"/>
          <w:sz w:val="36"/>
          <w:szCs w:val="36"/>
          <w:highlight w:val="none"/>
        </w:rPr>
        <w:t>须知前附表</w:t>
      </w:r>
      <w:bookmarkEnd w:id="3"/>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2058"/>
        <w:gridCol w:w="6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0" w:type="dxa"/>
            <w:vAlign w:val="center"/>
          </w:tcPr>
          <w:p>
            <w:pPr>
              <w:pStyle w:val="35"/>
              <w:pageBreakBefore w:val="0"/>
              <w:kinsoku/>
              <w:topLinePunct w:val="0"/>
              <w:bidi w:val="0"/>
              <w:spacing w:line="360" w:lineRule="auto"/>
              <w:ind w:left="-105" w:leftChars="-50" w:right="-105" w:rightChars="-50"/>
              <w:jc w:val="center"/>
              <w:rPr>
                <w:rFonts w:hint="eastAsia"/>
                <w:b/>
                <w:color w:val="000000"/>
                <w:sz w:val="24"/>
                <w:szCs w:val="24"/>
                <w:highlight w:val="none"/>
              </w:rPr>
            </w:pPr>
            <w:r>
              <w:rPr>
                <w:rFonts w:hint="eastAsia"/>
                <w:b/>
                <w:color w:val="000000"/>
                <w:sz w:val="24"/>
                <w:szCs w:val="24"/>
                <w:highlight w:val="none"/>
                <w:lang w:eastAsia="zh-CN"/>
              </w:rPr>
              <w:t>条款</w:t>
            </w:r>
            <w:r>
              <w:rPr>
                <w:rFonts w:hint="eastAsia"/>
                <w:b/>
                <w:color w:val="000000"/>
                <w:sz w:val="24"/>
                <w:szCs w:val="24"/>
                <w:highlight w:val="none"/>
              </w:rPr>
              <w:t>号</w:t>
            </w:r>
          </w:p>
        </w:tc>
        <w:tc>
          <w:tcPr>
            <w:tcW w:w="2058" w:type="dxa"/>
            <w:vAlign w:val="center"/>
          </w:tcPr>
          <w:p>
            <w:pPr>
              <w:pStyle w:val="35"/>
              <w:pageBreakBefore w:val="0"/>
              <w:kinsoku/>
              <w:topLinePunct w:val="0"/>
              <w:bidi w:val="0"/>
              <w:spacing w:line="360" w:lineRule="auto"/>
              <w:jc w:val="center"/>
              <w:rPr>
                <w:rFonts w:hint="eastAsia"/>
                <w:b/>
                <w:color w:val="000000"/>
                <w:sz w:val="24"/>
                <w:szCs w:val="24"/>
                <w:highlight w:val="none"/>
                <w:lang w:eastAsia="zh-CN"/>
              </w:rPr>
            </w:pPr>
            <w:r>
              <w:rPr>
                <w:rFonts w:hint="eastAsia"/>
                <w:b/>
                <w:color w:val="000000"/>
                <w:sz w:val="24"/>
                <w:szCs w:val="24"/>
                <w:highlight w:val="none"/>
                <w:lang w:eastAsia="zh-CN"/>
              </w:rPr>
              <w:t>条款名称</w:t>
            </w:r>
          </w:p>
        </w:tc>
        <w:tc>
          <w:tcPr>
            <w:tcW w:w="6057" w:type="dxa"/>
            <w:vAlign w:val="center"/>
          </w:tcPr>
          <w:p>
            <w:pPr>
              <w:pStyle w:val="35"/>
              <w:pageBreakBefore w:val="0"/>
              <w:kinsoku/>
              <w:topLinePunct w:val="0"/>
              <w:bidi w:val="0"/>
              <w:spacing w:line="360" w:lineRule="auto"/>
              <w:jc w:val="center"/>
              <w:rPr>
                <w:rFonts w:hint="eastAsia"/>
                <w:b/>
                <w:color w:val="000000"/>
                <w:sz w:val="24"/>
                <w:szCs w:val="24"/>
                <w:highlight w:val="none"/>
              </w:rPr>
            </w:pPr>
            <w:r>
              <w:rPr>
                <w:rFonts w:hint="eastAsia"/>
                <w:b/>
                <w:color w:val="000000"/>
                <w:sz w:val="24"/>
                <w:szCs w:val="24"/>
                <w:highlight w:val="none"/>
                <w:lang w:eastAsia="zh-CN"/>
              </w:rPr>
              <w:t>编列</w:t>
            </w:r>
            <w:r>
              <w:rPr>
                <w:rFonts w:hint="eastAsia"/>
                <w:b/>
                <w:color w:val="000000"/>
                <w:sz w:val="24"/>
                <w:szCs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0" w:type="dxa"/>
            <w:vAlign w:val="center"/>
          </w:tcPr>
          <w:p>
            <w:pPr>
              <w:pageBreakBefore w:val="0"/>
              <w:kinsoku/>
              <w:topLinePunct w:val="0"/>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2.1</w:t>
            </w:r>
          </w:p>
        </w:tc>
        <w:tc>
          <w:tcPr>
            <w:tcW w:w="2058" w:type="dxa"/>
            <w:vAlign w:val="center"/>
          </w:tcPr>
          <w:p>
            <w:pPr>
              <w:pStyle w:val="35"/>
              <w:pageBreakBefore w:val="0"/>
              <w:kinsoku/>
              <w:topLinePunct w:val="0"/>
              <w:bidi w:val="0"/>
              <w:spacing w:line="360" w:lineRule="auto"/>
              <w:jc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项目名称</w:t>
            </w:r>
          </w:p>
        </w:tc>
        <w:tc>
          <w:tcPr>
            <w:tcW w:w="6057" w:type="dxa"/>
            <w:vAlign w:val="center"/>
          </w:tcPr>
          <w:p>
            <w:pPr>
              <w:pStyle w:val="35"/>
              <w:pageBreakBefore w:val="0"/>
              <w:kinsoku/>
              <w:topLinePunct w:val="0"/>
              <w:bidi w:val="0"/>
              <w:spacing w:line="360" w:lineRule="auto"/>
              <w:rPr>
                <w:rFonts w:hint="eastAsia" w:ascii="宋体" w:hAnsi="宋体" w:eastAsia="宋体" w:cs="宋体"/>
                <w:color w:val="000000"/>
                <w:sz w:val="24"/>
                <w:szCs w:val="24"/>
                <w:highlight w:val="none"/>
                <w:lang w:eastAsia="zh-CN"/>
              </w:rPr>
            </w:pPr>
            <w:r>
              <w:rPr>
                <w:rFonts w:hint="eastAsia" w:ascii="宋体" w:hAnsi="宋体" w:eastAsia="宋体" w:cs="宋体"/>
                <w:b w:val="0"/>
                <w:bCs w:val="0"/>
                <w:color w:val="000000"/>
                <w:sz w:val="21"/>
                <w:szCs w:val="21"/>
                <w:u w:val="none"/>
                <w:lang w:val="en-US" w:eastAsia="zh-CN"/>
              </w:rPr>
              <w:t>2023年白沙县学前教育普及普惠项目-东片区校舍维修、绿化等附属工程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0" w:type="dxa"/>
            <w:vAlign w:val="center"/>
          </w:tcPr>
          <w:p>
            <w:pPr>
              <w:pageBreakBefore w:val="0"/>
              <w:kinsoku/>
              <w:topLinePunct w:val="0"/>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2.2</w:t>
            </w:r>
          </w:p>
        </w:tc>
        <w:tc>
          <w:tcPr>
            <w:tcW w:w="2058" w:type="dxa"/>
            <w:vAlign w:val="center"/>
          </w:tcPr>
          <w:p>
            <w:pPr>
              <w:pStyle w:val="35"/>
              <w:pageBreakBefore w:val="0"/>
              <w:kinsoku/>
              <w:topLinePunct w:val="0"/>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项目</w:t>
            </w:r>
            <w:r>
              <w:rPr>
                <w:rFonts w:hint="eastAsia" w:ascii="宋体" w:hAnsi="宋体" w:eastAsia="宋体" w:cs="宋体"/>
                <w:color w:val="000000"/>
                <w:sz w:val="24"/>
                <w:szCs w:val="24"/>
                <w:highlight w:val="none"/>
              </w:rPr>
              <w:t>编号</w:t>
            </w:r>
          </w:p>
        </w:tc>
        <w:tc>
          <w:tcPr>
            <w:tcW w:w="6057" w:type="dxa"/>
            <w:vAlign w:val="center"/>
          </w:tcPr>
          <w:p>
            <w:pPr>
              <w:pStyle w:val="35"/>
              <w:pageBreakBefore w:val="0"/>
              <w:kinsoku/>
              <w:topLinePunct w:val="0"/>
              <w:bidi w:val="0"/>
              <w:spacing w:line="360" w:lineRule="auto"/>
              <w:rPr>
                <w:rFonts w:hint="eastAsia" w:ascii="宋体" w:hAnsi="宋体" w:eastAsia="宋体" w:cs="宋体"/>
                <w:color w:val="000000"/>
                <w:sz w:val="24"/>
                <w:szCs w:val="24"/>
                <w:highlight w:val="none"/>
                <w:lang w:val="en-US" w:eastAsia="zh-CN"/>
              </w:rPr>
            </w:pPr>
            <w:r>
              <w:rPr>
                <w:rFonts w:hint="eastAsia" w:ascii="宋体" w:hAnsi="宋体" w:eastAsia="宋体" w:cs="宋体"/>
                <w:b w:val="0"/>
                <w:bCs/>
                <w:color w:val="000000"/>
                <w:sz w:val="21"/>
                <w:szCs w:val="21"/>
                <w:lang w:val="en-US" w:eastAsia="zh-CN"/>
              </w:rPr>
              <w:t>HNLC-2023[12]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0" w:type="dxa"/>
            <w:vAlign w:val="center"/>
          </w:tcPr>
          <w:p>
            <w:pPr>
              <w:pageBreakBefore w:val="0"/>
              <w:kinsoku/>
              <w:topLinePunct w:val="0"/>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2.3</w:t>
            </w:r>
          </w:p>
        </w:tc>
        <w:tc>
          <w:tcPr>
            <w:tcW w:w="2058" w:type="dxa"/>
            <w:vAlign w:val="center"/>
          </w:tcPr>
          <w:p>
            <w:pPr>
              <w:pStyle w:val="35"/>
              <w:pageBreakBefore w:val="0"/>
              <w:kinsoku/>
              <w:topLinePunct w:val="0"/>
              <w:bidi w:val="0"/>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采购人</w:t>
            </w:r>
          </w:p>
        </w:tc>
        <w:tc>
          <w:tcPr>
            <w:tcW w:w="6057" w:type="dxa"/>
            <w:vAlign w:val="center"/>
          </w:tcPr>
          <w:p>
            <w:pPr>
              <w:pStyle w:val="37"/>
              <w:pageBreakBefore w:val="0"/>
              <w:kinsoku/>
              <w:topLinePunct w:val="0"/>
              <w:bidi w:val="0"/>
              <w:spacing w:line="360" w:lineRule="auto"/>
              <w:jc w:val="both"/>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名称：</w:t>
            </w:r>
            <w:r>
              <w:rPr>
                <w:rFonts w:hint="eastAsia" w:ascii="宋体" w:hAnsi="宋体" w:eastAsia="宋体" w:cs="宋体"/>
                <w:bCs/>
                <w:color w:val="000000"/>
                <w:kern w:val="10"/>
                <w:sz w:val="24"/>
                <w:szCs w:val="24"/>
                <w:highlight w:val="none"/>
                <w:u w:val="none"/>
                <w:lang w:val="en-US" w:eastAsia="zh-CN" w:bidi="ar-SA"/>
              </w:rPr>
              <w:t>白沙黎族自治县教育局</w:t>
            </w:r>
          </w:p>
          <w:p>
            <w:pPr>
              <w:keepNext w:val="0"/>
              <w:keepLines w:val="0"/>
              <w:pageBreakBefore w:val="0"/>
              <w:widowControl/>
              <w:tabs>
                <w:tab w:val="left" w:pos="4680"/>
              </w:tabs>
              <w:kinsoku/>
              <w:wordWrap/>
              <w:overflowPunct/>
              <w:topLinePunct w:val="0"/>
              <w:autoSpaceDE/>
              <w:autoSpaceDN/>
              <w:bidi w:val="0"/>
              <w:adjustRightInd/>
              <w:snapToGrid w:val="0"/>
              <w:spacing w:line="360" w:lineRule="auto"/>
              <w:jc w:val="left"/>
              <w:textAlignment w:val="auto"/>
              <w:rPr>
                <w:rFonts w:hint="eastAsia" w:ascii="宋体" w:hAnsi="宋体" w:eastAsia="宋体" w:cs="宋体"/>
                <w:bCs/>
                <w:color w:val="000000"/>
                <w:kern w:val="10"/>
                <w:sz w:val="24"/>
                <w:szCs w:val="24"/>
                <w:highlight w:val="none"/>
                <w:u w:val="none"/>
              </w:rPr>
            </w:pPr>
            <w:r>
              <w:rPr>
                <w:rFonts w:hint="eastAsia" w:ascii="宋体" w:hAnsi="宋体" w:eastAsia="宋体" w:cs="宋体"/>
                <w:color w:val="000000"/>
                <w:sz w:val="24"/>
                <w:szCs w:val="24"/>
                <w:highlight w:val="none"/>
                <w:lang w:eastAsia="zh-CN"/>
              </w:rPr>
              <w:t>联系人：</w:t>
            </w:r>
            <w:r>
              <w:rPr>
                <w:rFonts w:hint="eastAsia" w:ascii="宋体" w:hAnsi="宋体" w:cs="宋体"/>
                <w:bCs/>
                <w:color w:val="000000"/>
                <w:kern w:val="10"/>
                <w:sz w:val="24"/>
                <w:szCs w:val="24"/>
                <w:highlight w:val="none"/>
                <w:u w:val="none"/>
                <w:lang w:val="en-US" w:eastAsia="zh-CN"/>
              </w:rPr>
              <w:t>胡老师</w:t>
            </w:r>
            <w:r>
              <w:rPr>
                <w:rFonts w:hint="eastAsia" w:ascii="宋体" w:hAnsi="宋体" w:eastAsia="宋体" w:cs="宋体"/>
                <w:bCs/>
                <w:color w:val="000000"/>
                <w:kern w:val="10"/>
                <w:sz w:val="24"/>
                <w:szCs w:val="24"/>
                <w:highlight w:val="none"/>
                <w:u w:val="none"/>
                <w:lang w:val="en-US" w:eastAsia="zh-CN"/>
              </w:rPr>
              <w:t xml:space="preserve"> </w:t>
            </w:r>
            <w:r>
              <w:rPr>
                <w:rFonts w:hint="eastAsia" w:ascii="宋体" w:hAnsi="宋体" w:eastAsia="宋体" w:cs="宋体"/>
                <w:bCs/>
                <w:color w:val="000000"/>
                <w:kern w:val="10"/>
                <w:sz w:val="24"/>
                <w:szCs w:val="24"/>
                <w:highlight w:val="none"/>
                <w:u w:val="none"/>
              </w:rPr>
              <w:t xml:space="preserve">   </w:t>
            </w:r>
          </w:p>
          <w:p>
            <w:pPr>
              <w:pStyle w:val="37"/>
              <w:pageBreakBefore w:val="0"/>
              <w:kinsoku/>
              <w:topLinePunct w:val="0"/>
              <w:bidi w:val="0"/>
              <w:spacing w:line="360" w:lineRule="auto"/>
              <w:jc w:val="both"/>
              <w:rPr>
                <w:rFonts w:hint="eastAsia" w:ascii="宋体" w:hAnsi="宋体" w:eastAsia="宋体" w:cs="宋体"/>
                <w:color w:val="000000"/>
                <w:sz w:val="24"/>
                <w:szCs w:val="24"/>
                <w:highlight w:val="none"/>
                <w:lang w:eastAsia="zh-CN"/>
              </w:rPr>
            </w:pPr>
            <w:r>
              <w:rPr>
                <w:rFonts w:hint="eastAsia" w:ascii="宋体" w:hAnsi="宋体" w:eastAsia="宋体" w:cs="宋体"/>
                <w:bCs/>
                <w:color w:val="000000"/>
                <w:kern w:val="10"/>
                <w:sz w:val="24"/>
                <w:highlight w:val="none"/>
                <w:u w:val="none"/>
              </w:rPr>
              <w:t>电  话：</w:t>
            </w:r>
            <w:r>
              <w:rPr>
                <w:rFonts w:hint="eastAsia" w:ascii="宋体" w:hAnsi="宋体" w:cs="宋体"/>
                <w:bCs/>
                <w:color w:val="000000"/>
                <w:kern w:val="10"/>
                <w:sz w:val="24"/>
                <w:highlight w:val="none"/>
                <w:u w:val="none"/>
                <w:lang w:val="en-US" w:eastAsia="zh-CN"/>
              </w:rPr>
              <w:t>0898-27727539</w:t>
            </w:r>
            <w:r>
              <w:rPr>
                <w:rFonts w:hint="eastAsia" w:ascii="宋体" w:hAnsi="宋体" w:eastAsia="宋体" w:cs="宋体"/>
                <w:bCs/>
                <w:color w:val="000000"/>
                <w:kern w:val="10"/>
                <w:sz w:val="24"/>
                <w:highlight w:val="none"/>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0" w:type="dxa"/>
            <w:vAlign w:val="center"/>
          </w:tcPr>
          <w:p>
            <w:pPr>
              <w:pageBreakBefore w:val="0"/>
              <w:kinsoku/>
              <w:topLinePunct w:val="0"/>
              <w:bidi w:val="0"/>
              <w:spacing w:line="360" w:lineRule="auto"/>
              <w:jc w:val="center"/>
              <w:rPr>
                <w:rFonts w:hint="eastAsia"/>
                <w:color w:val="000000"/>
                <w:sz w:val="24"/>
                <w:szCs w:val="24"/>
                <w:highlight w:val="none"/>
              </w:rPr>
            </w:pPr>
            <w:r>
              <w:rPr>
                <w:rFonts w:hint="eastAsia"/>
                <w:color w:val="000000"/>
                <w:sz w:val="24"/>
                <w:szCs w:val="24"/>
                <w:highlight w:val="none"/>
              </w:rPr>
              <w:t>2.4</w:t>
            </w:r>
          </w:p>
        </w:tc>
        <w:tc>
          <w:tcPr>
            <w:tcW w:w="2058" w:type="dxa"/>
            <w:vAlign w:val="center"/>
          </w:tcPr>
          <w:p>
            <w:pPr>
              <w:pStyle w:val="35"/>
              <w:pageBreakBefore w:val="0"/>
              <w:kinsoku/>
              <w:topLinePunct w:val="0"/>
              <w:bidi w:val="0"/>
              <w:spacing w:line="360" w:lineRule="auto"/>
              <w:jc w:val="center"/>
              <w:rPr>
                <w:rFonts w:hint="eastAsia"/>
                <w:color w:val="000000"/>
                <w:sz w:val="24"/>
                <w:szCs w:val="24"/>
                <w:highlight w:val="none"/>
              </w:rPr>
            </w:pPr>
            <w:r>
              <w:rPr>
                <w:rFonts w:hint="eastAsia"/>
                <w:color w:val="000000"/>
                <w:sz w:val="24"/>
                <w:szCs w:val="24"/>
                <w:highlight w:val="none"/>
                <w:lang w:eastAsia="zh-CN"/>
              </w:rPr>
              <w:t>采购</w:t>
            </w:r>
            <w:r>
              <w:rPr>
                <w:rFonts w:hint="eastAsia"/>
                <w:color w:val="000000"/>
                <w:sz w:val="24"/>
                <w:szCs w:val="24"/>
                <w:highlight w:val="none"/>
              </w:rPr>
              <w:t>代理机构</w:t>
            </w:r>
          </w:p>
        </w:tc>
        <w:tc>
          <w:tcPr>
            <w:tcW w:w="6057" w:type="dxa"/>
            <w:vAlign w:val="center"/>
          </w:tcPr>
          <w:p>
            <w:pPr>
              <w:keepNext w:val="0"/>
              <w:keepLines w:val="0"/>
              <w:pageBreakBefore w:val="0"/>
              <w:widowControl/>
              <w:tabs>
                <w:tab w:val="left" w:pos="4680"/>
              </w:tabs>
              <w:kinsoku/>
              <w:wordWrap/>
              <w:overflowPunct/>
              <w:topLinePunct w:val="0"/>
              <w:autoSpaceDE/>
              <w:autoSpaceDN/>
              <w:bidi w:val="0"/>
              <w:adjustRightInd/>
              <w:snapToGrid w:val="0"/>
              <w:spacing w:line="360" w:lineRule="auto"/>
              <w:jc w:val="left"/>
              <w:textAlignment w:val="auto"/>
              <w:rPr>
                <w:rFonts w:hint="eastAsia" w:ascii="Times New Roman" w:eastAsia="宋体" w:cs="宋体"/>
                <w:color w:val="000000"/>
                <w:sz w:val="24"/>
                <w:szCs w:val="24"/>
                <w:highlight w:val="none"/>
                <w:lang w:eastAsia="zh-CN"/>
              </w:rPr>
            </w:pPr>
            <w:r>
              <w:rPr>
                <w:rFonts w:hint="eastAsia" w:ascii="Times New Roman" w:eastAsia="宋体" w:cs="宋体"/>
                <w:color w:val="000000"/>
                <w:sz w:val="24"/>
                <w:szCs w:val="24"/>
                <w:highlight w:val="none"/>
              </w:rPr>
              <w:t>名称：</w:t>
            </w:r>
            <w:r>
              <w:rPr>
                <w:rFonts w:hint="eastAsia" w:ascii="宋体" w:hAnsi="宋体" w:cs="宋体"/>
                <w:bCs/>
                <w:color w:val="000000"/>
                <w:kern w:val="10"/>
                <w:sz w:val="24"/>
                <w:highlight w:val="none"/>
                <w:lang w:eastAsia="zh-CN"/>
              </w:rPr>
              <w:t>海南</w:t>
            </w:r>
            <w:r>
              <w:rPr>
                <w:rFonts w:hint="eastAsia" w:ascii="宋体" w:hAnsi="宋体" w:cs="宋体"/>
                <w:bCs/>
                <w:color w:val="000000"/>
                <w:kern w:val="10"/>
                <w:sz w:val="24"/>
                <w:highlight w:val="none"/>
                <w:lang w:val="en-US" w:eastAsia="zh-CN"/>
              </w:rPr>
              <w:t>珑宸</w:t>
            </w:r>
            <w:r>
              <w:rPr>
                <w:rFonts w:hint="eastAsia" w:ascii="宋体" w:hAnsi="宋体" w:cs="宋体"/>
                <w:bCs/>
                <w:color w:val="000000"/>
                <w:kern w:val="10"/>
                <w:sz w:val="24"/>
                <w:highlight w:val="none"/>
                <w:lang w:eastAsia="zh-CN"/>
              </w:rPr>
              <w:t>项目管理有限公司</w:t>
            </w:r>
          </w:p>
          <w:p>
            <w:pPr>
              <w:pStyle w:val="35"/>
              <w:pageBreakBefore w:val="0"/>
              <w:kinsoku/>
              <w:topLinePunct w:val="0"/>
              <w:bidi w:val="0"/>
              <w:spacing w:line="360" w:lineRule="auto"/>
              <w:rPr>
                <w:rFonts w:hint="eastAsia"/>
                <w:color w:val="000000"/>
                <w:sz w:val="24"/>
                <w:szCs w:val="24"/>
                <w:highlight w:val="none"/>
              </w:rPr>
            </w:pPr>
            <w:r>
              <w:rPr>
                <w:rFonts w:hint="eastAsia"/>
                <w:color w:val="000000"/>
                <w:sz w:val="24"/>
                <w:szCs w:val="24"/>
                <w:highlight w:val="none"/>
              </w:rPr>
              <w:t>联系人：</w:t>
            </w:r>
            <w:r>
              <w:rPr>
                <w:rFonts w:hint="eastAsia"/>
                <w:color w:val="000000"/>
                <w:sz w:val="24"/>
                <w:szCs w:val="24"/>
                <w:highlight w:val="none"/>
                <w:lang w:val="en-US" w:eastAsia="zh-CN"/>
              </w:rPr>
              <w:t>谢</w:t>
            </w:r>
            <w:r>
              <w:rPr>
                <w:rFonts w:hint="eastAsia"/>
                <w:color w:val="000000"/>
                <w:sz w:val="24"/>
                <w:szCs w:val="24"/>
                <w:highlight w:val="none"/>
                <w:lang w:eastAsia="zh-CN"/>
              </w:rPr>
              <w:t>工</w:t>
            </w:r>
            <w:r>
              <w:rPr>
                <w:rFonts w:hint="eastAsia"/>
                <w:color w:val="000000"/>
                <w:sz w:val="24"/>
                <w:szCs w:val="24"/>
                <w:highlight w:val="none"/>
              </w:rPr>
              <w:t xml:space="preserve">        </w:t>
            </w:r>
          </w:p>
          <w:p>
            <w:pPr>
              <w:pStyle w:val="35"/>
              <w:pageBreakBefore w:val="0"/>
              <w:kinsoku/>
              <w:topLinePunct w:val="0"/>
              <w:bidi w:val="0"/>
              <w:spacing w:line="360" w:lineRule="auto"/>
              <w:rPr>
                <w:color w:val="000000"/>
                <w:sz w:val="24"/>
                <w:szCs w:val="24"/>
                <w:highlight w:val="none"/>
                <w:lang w:eastAsia="zh-CN"/>
              </w:rPr>
            </w:pPr>
            <w:r>
              <w:rPr>
                <w:rFonts w:hint="eastAsia"/>
                <w:color w:val="000000"/>
                <w:sz w:val="24"/>
                <w:szCs w:val="24"/>
                <w:highlight w:val="none"/>
              </w:rPr>
              <w:t>电话：</w:t>
            </w:r>
            <w:r>
              <w:rPr>
                <w:rFonts w:hint="eastAsia" w:ascii="宋体" w:hAnsi="宋体" w:cs="宋体"/>
                <w:bCs/>
                <w:color w:val="000000"/>
                <w:kern w:val="10"/>
                <w:sz w:val="24"/>
                <w:highlight w:val="none"/>
                <w:lang w:val="en-US" w:eastAsia="zh-CN"/>
              </w:rPr>
              <w:t>0898-36330097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90" w:type="dxa"/>
            <w:vAlign w:val="center"/>
          </w:tcPr>
          <w:p>
            <w:pPr>
              <w:pageBreakBefore w:val="0"/>
              <w:kinsoku/>
              <w:topLinePunct w:val="0"/>
              <w:bidi w:val="0"/>
              <w:spacing w:line="360" w:lineRule="auto"/>
              <w:jc w:val="center"/>
              <w:rPr>
                <w:rFonts w:hint="eastAsia"/>
                <w:color w:val="000000"/>
                <w:sz w:val="24"/>
                <w:szCs w:val="24"/>
                <w:highlight w:val="none"/>
              </w:rPr>
            </w:pPr>
            <w:r>
              <w:rPr>
                <w:rFonts w:hint="eastAsia"/>
                <w:color w:val="000000"/>
                <w:sz w:val="24"/>
                <w:szCs w:val="24"/>
                <w:highlight w:val="none"/>
              </w:rPr>
              <w:t>2.5</w:t>
            </w:r>
          </w:p>
        </w:tc>
        <w:tc>
          <w:tcPr>
            <w:tcW w:w="2058" w:type="dxa"/>
            <w:vAlign w:val="center"/>
          </w:tcPr>
          <w:p>
            <w:pPr>
              <w:pStyle w:val="35"/>
              <w:pageBreakBefore w:val="0"/>
              <w:kinsoku/>
              <w:topLinePunct w:val="0"/>
              <w:bidi w:val="0"/>
              <w:spacing w:line="360" w:lineRule="auto"/>
              <w:jc w:val="center"/>
              <w:rPr>
                <w:rFonts w:hint="eastAsia"/>
                <w:color w:val="000000"/>
                <w:sz w:val="24"/>
                <w:szCs w:val="24"/>
                <w:highlight w:val="none"/>
              </w:rPr>
            </w:pPr>
            <w:r>
              <w:rPr>
                <w:rFonts w:hint="eastAsia"/>
                <w:color w:val="000000"/>
                <w:sz w:val="24"/>
                <w:szCs w:val="24"/>
                <w:highlight w:val="none"/>
              </w:rPr>
              <w:t>采购预算</w:t>
            </w:r>
          </w:p>
        </w:tc>
        <w:tc>
          <w:tcPr>
            <w:tcW w:w="6057" w:type="dxa"/>
            <w:vAlign w:val="center"/>
          </w:tcPr>
          <w:p>
            <w:pPr>
              <w:pStyle w:val="35"/>
              <w:pageBreakBefore w:val="0"/>
              <w:kinsoku/>
              <w:topLinePunct w:val="0"/>
              <w:bidi w:val="0"/>
              <w:spacing w:line="360" w:lineRule="auto"/>
              <w:rPr>
                <w:rFonts w:hint="eastAsia"/>
                <w:color w:val="000000"/>
                <w:sz w:val="24"/>
                <w:szCs w:val="24"/>
                <w:highlight w:val="none"/>
                <w:lang w:eastAsia="zh-CN"/>
              </w:rPr>
            </w:pPr>
            <w:r>
              <w:rPr>
                <w:rFonts w:hint="eastAsia" w:ascii="宋体" w:hAnsi="宋体" w:eastAsia="宋体" w:cs="宋体"/>
                <w:color w:val="000000"/>
                <w:sz w:val="24"/>
                <w:szCs w:val="24"/>
                <w:highlight w:val="none"/>
                <w:u w:val="none"/>
                <w:lang w:val="en-US" w:eastAsia="zh-CN"/>
              </w:rPr>
              <w:t>￥2175272.2元，其中工程类（A）包最高限价为：￥1525010.86；工程类B包最高限价最高限价为：￥650261.31元。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0" w:type="dxa"/>
            <w:vAlign w:val="center"/>
          </w:tcPr>
          <w:p>
            <w:pPr>
              <w:pageBreakBefore w:val="0"/>
              <w:kinsoku/>
              <w:topLinePunct w:val="0"/>
              <w:bidi w:val="0"/>
              <w:spacing w:line="360" w:lineRule="auto"/>
              <w:jc w:val="center"/>
              <w:rPr>
                <w:rFonts w:hint="eastAsia"/>
                <w:color w:val="000000"/>
                <w:sz w:val="24"/>
                <w:szCs w:val="24"/>
                <w:highlight w:val="none"/>
              </w:rPr>
            </w:pPr>
            <w:r>
              <w:rPr>
                <w:rFonts w:hint="eastAsia"/>
                <w:color w:val="000000"/>
                <w:sz w:val="24"/>
                <w:szCs w:val="24"/>
                <w:highlight w:val="none"/>
              </w:rPr>
              <w:t>2.6</w:t>
            </w:r>
          </w:p>
        </w:tc>
        <w:tc>
          <w:tcPr>
            <w:tcW w:w="2058" w:type="dxa"/>
            <w:vAlign w:val="center"/>
          </w:tcPr>
          <w:p>
            <w:pPr>
              <w:pStyle w:val="35"/>
              <w:pageBreakBefore w:val="0"/>
              <w:kinsoku/>
              <w:topLinePunct w:val="0"/>
              <w:bidi w:val="0"/>
              <w:spacing w:line="360" w:lineRule="auto"/>
              <w:jc w:val="center"/>
              <w:rPr>
                <w:rFonts w:hint="default" w:eastAsia="宋体"/>
                <w:color w:val="000000"/>
                <w:sz w:val="24"/>
                <w:szCs w:val="24"/>
                <w:highlight w:val="none"/>
                <w:lang w:val="en-US" w:eastAsia="zh-CN"/>
              </w:rPr>
            </w:pPr>
            <w:r>
              <w:rPr>
                <w:rFonts w:hint="eastAsia"/>
                <w:color w:val="000000"/>
                <w:sz w:val="24"/>
                <w:szCs w:val="24"/>
                <w:highlight w:val="none"/>
                <w:lang w:val="en-US" w:eastAsia="zh-CN"/>
              </w:rPr>
              <w:t>资金来源</w:t>
            </w:r>
          </w:p>
        </w:tc>
        <w:tc>
          <w:tcPr>
            <w:tcW w:w="6057" w:type="dxa"/>
            <w:vAlign w:val="center"/>
          </w:tcPr>
          <w:p>
            <w:pPr>
              <w:pStyle w:val="35"/>
              <w:pageBreakBefore w:val="0"/>
              <w:kinsoku/>
              <w:topLinePunct w:val="0"/>
              <w:bidi w:val="0"/>
              <w:spacing w:line="360" w:lineRule="auto"/>
              <w:rPr>
                <w:rFonts w:hint="default"/>
                <w:color w:val="000000"/>
                <w:sz w:val="24"/>
                <w:szCs w:val="24"/>
                <w:highlight w:val="none"/>
                <w:lang w:val="en-US" w:eastAsia="zh-CN"/>
              </w:rPr>
            </w:pPr>
            <w:r>
              <w:rPr>
                <w:rFonts w:hint="eastAsia"/>
                <w:color w:val="000000"/>
                <w:sz w:val="24"/>
                <w:szCs w:val="24"/>
                <w:highlight w:val="none"/>
                <w:lang w:val="en-US" w:eastAsia="zh-CN"/>
              </w:rPr>
              <w:t>政府投资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0" w:type="dxa"/>
            <w:vAlign w:val="center"/>
          </w:tcPr>
          <w:p>
            <w:pPr>
              <w:pageBreakBefore w:val="0"/>
              <w:kinsoku/>
              <w:topLinePunct w:val="0"/>
              <w:bidi w:val="0"/>
              <w:spacing w:line="360" w:lineRule="auto"/>
              <w:jc w:val="center"/>
              <w:rPr>
                <w:rFonts w:hint="eastAsia"/>
                <w:color w:val="000000"/>
                <w:sz w:val="24"/>
                <w:szCs w:val="24"/>
                <w:highlight w:val="none"/>
              </w:rPr>
            </w:pPr>
            <w:r>
              <w:rPr>
                <w:rFonts w:hint="eastAsia"/>
                <w:color w:val="000000"/>
                <w:sz w:val="24"/>
                <w:szCs w:val="24"/>
                <w:highlight w:val="none"/>
              </w:rPr>
              <w:t>2.7</w:t>
            </w:r>
          </w:p>
        </w:tc>
        <w:tc>
          <w:tcPr>
            <w:tcW w:w="2058" w:type="dxa"/>
            <w:vAlign w:val="center"/>
          </w:tcPr>
          <w:p>
            <w:pPr>
              <w:pStyle w:val="35"/>
              <w:pageBreakBefore w:val="0"/>
              <w:kinsoku/>
              <w:topLinePunct w:val="0"/>
              <w:bidi w:val="0"/>
              <w:spacing w:line="360" w:lineRule="auto"/>
              <w:jc w:val="center"/>
              <w:rPr>
                <w:rFonts w:hint="eastAsia"/>
                <w:color w:val="000000"/>
                <w:sz w:val="24"/>
                <w:szCs w:val="24"/>
                <w:highlight w:val="none"/>
                <w:lang w:eastAsia="zh-CN"/>
              </w:rPr>
            </w:pPr>
            <w:r>
              <w:rPr>
                <w:rFonts w:hint="eastAsia"/>
                <w:color w:val="000000"/>
                <w:sz w:val="24"/>
                <w:szCs w:val="24"/>
                <w:highlight w:val="none"/>
                <w:lang w:eastAsia="zh-CN"/>
              </w:rPr>
              <w:t>供应商资格要求</w:t>
            </w:r>
          </w:p>
        </w:tc>
        <w:tc>
          <w:tcPr>
            <w:tcW w:w="6057" w:type="dxa"/>
            <w:vAlign w:val="center"/>
          </w:tcPr>
          <w:p>
            <w:pPr>
              <w:pStyle w:val="35"/>
              <w:pageBreakBefore w:val="0"/>
              <w:kinsoku/>
              <w:topLinePunct w:val="0"/>
              <w:bidi w:val="0"/>
              <w:spacing w:line="360" w:lineRule="auto"/>
              <w:rPr>
                <w:rFonts w:hint="eastAsia"/>
                <w:color w:val="000000"/>
                <w:sz w:val="24"/>
                <w:szCs w:val="24"/>
                <w:highlight w:val="none"/>
                <w:lang w:eastAsia="zh-CN"/>
              </w:rPr>
            </w:pPr>
            <w:r>
              <w:rPr>
                <w:rFonts w:hint="eastAsia"/>
                <w:color w:val="000000"/>
                <w:sz w:val="24"/>
                <w:szCs w:val="24"/>
                <w:highlight w:val="none"/>
                <w:lang w:eastAsia="zh-CN"/>
              </w:rPr>
              <w:t>见第一部分磋商公告“二、供应商资格与资质要求”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0" w:type="dxa"/>
            <w:vAlign w:val="center"/>
          </w:tcPr>
          <w:p>
            <w:pPr>
              <w:pageBreakBefore w:val="0"/>
              <w:kinsoku/>
              <w:topLinePunct w:val="0"/>
              <w:bidi w:val="0"/>
              <w:spacing w:line="360" w:lineRule="auto"/>
              <w:jc w:val="center"/>
              <w:rPr>
                <w:rFonts w:hint="eastAsia"/>
                <w:color w:val="000000"/>
                <w:sz w:val="24"/>
                <w:szCs w:val="24"/>
                <w:highlight w:val="none"/>
              </w:rPr>
            </w:pPr>
            <w:r>
              <w:rPr>
                <w:rFonts w:hint="eastAsia"/>
                <w:color w:val="000000"/>
                <w:sz w:val="24"/>
                <w:szCs w:val="24"/>
                <w:highlight w:val="none"/>
              </w:rPr>
              <w:t>2.8</w:t>
            </w:r>
          </w:p>
        </w:tc>
        <w:tc>
          <w:tcPr>
            <w:tcW w:w="2058" w:type="dxa"/>
            <w:vAlign w:val="center"/>
          </w:tcPr>
          <w:p>
            <w:pPr>
              <w:pStyle w:val="35"/>
              <w:pageBreakBefore w:val="0"/>
              <w:kinsoku/>
              <w:topLinePunct w:val="0"/>
              <w:bidi w:val="0"/>
              <w:spacing w:line="360" w:lineRule="auto"/>
              <w:jc w:val="center"/>
              <w:rPr>
                <w:rFonts w:hint="eastAsia"/>
                <w:color w:val="000000"/>
                <w:sz w:val="24"/>
                <w:szCs w:val="24"/>
                <w:highlight w:val="none"/>
                <w:lang w:eastAsia="zh-CN"/>
              </w:rPr>
            </w:pPr>
            <w:r>
              <w:rPr>
                <w:rFonts w:hint="eastAsia"/>
                <w:color w:val="000000"/>
                <w:sz w:val="24"/>
                <w:szCs w:val="24"/>
                <w:highlight w:val="none"/>
                <w:lang w:eastAsia="zh-CN"/>
              </w:rPr>
              <w:t>施工工期</w:t>
            </w:r>
          </w:p>
        </w:tc>
        <w:tc>
          <w:tcPr>
            <w:tcW w:w="6057" w:type="dxa"/>
            <w:vAlign w:val="center"/>
          </w:tcPr>
          <w:p>
            <w:pPr>
              <w:pStyle w:val="35"/>
              <w:pageBreakBefore w:val="0"/>
              <w:kinsoku/>
              <w:topLinePunct w:val="0"/>
              <w:bidi w:val="0"/>
              <w:spacing w:line="360" w:lineRule="auto"/>
              <w:jc w:val="left"/>
              <w:rPr>
                <w:rFonts w:hint="eastAsia"/>
                <w:color w:val="000000"/>
                <w:sz w:val="24"/>
                <w:szCs w:val="24"/>
                <w:highlight w:val="none"/>
                <w:lang w:eastAsia="zh-CN"/>
              </w:rPr>
            </w:pPr>
            <w:r>
              <w:rPr>
                <w:rFonts w:hint="eastAsia"/>
                <w:color w:val="auto"/>
                <w:sz w:val="24"/>
                <w:szCs w:val="24"/>
                <w:highlight w:val="none"/>
                <w:lang w:val="en-US" w:eastAsia="zh-CN"/>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90" w:type="dxa"/>
            <w:vAlign w:val="center"/>
          </w:tcPr>
          <w:p>
            <w:pPr>
              <w:pageBreakBefore w:val="0"/>
              <w:kinsoku/>
              <w:topLinePunct w:val="0"/>
              <w:autoSpaceDE w:val="0"/>
              <w:autoSpaceDN w:val="0"/>
              <w:bidi w:val="0"/>
              <w:adjustRightInd w:val="0"/>
              <w:spacing w:line="360" w:lineRule="auto"/>
              <w:jc w:val="center"/>
              <w:rPr>
                <w:rFonts w:hint="default" w:eastAsia="宋体"/>
                <w:color w:val="000000"/>
                <w:sz w:val="24"/>
                <w:szCs w:val="24"/>
                <w:highlight w:val="none"/>
                <w:lang w:val="en-US" w:eastAsia="zh-CN"/>
              </w:rPr>
            </w:pPr>
            <w:r>
              <w:rPr>
                <w:rFonts w:hint="eastAsia" w:ascii="宋体" w:hAnsi="宋体" w:cs="仿宋_GB2312"/>
                <w:color w:val="000000"/>
                <w:kern w:val="0"/>
                <w:sz w:val="24"/>
                <w:szCs w:val="24"/>
                <w:highlight w:val="none"/>
                <w:lang w:val="en-US" w:eastAsia="zh-CN"/>
              </w:rPr>
              <w:t>3.1</w:t>
            </w:r>
          </w:p>
        </w:tc>
        <w:tc>
          <w:tcPr>
            <w:tcW w:w="2058" w:type="dxa"/>
            <w:vAlign w:val="center"/>
          </w:tcPr>
          <w:p>
            <w:pPr>
              <w:pageBreakBefore w:val="0"/>
              <w:kinsoku/>
              <w:topLinePunct w:val="0"/>
              <w:autoSpaceDE w:val="0"/>
              <w:autoSpaceDN w:val="0"/>
              <w:bidi w:val="0"/>
              <w:adjustRightInd w:val="0"/>
              <w:spacing w:line="360" w:lineRule="auto"/>
              <w:jc w:val="center"/>
              <w:rPr>
                <w:rFonts w:hint="eastAsia"/>
                <w:color w:val="000000"/>
                <w:sz w:val="24"/>
                <w:szCs w:val="24"/>
                <w:highlight w:val="none"/>
              </w:rPr>
            </w:pPr>
            <w:r>
              <w:rPr>
                <w:rFonts w:hint="eastAsia" w:ascii="宋体" w:hAnsi="宋体" w:cs="仿宋_GB2312"/>
                <w:color w:val="000000"/>
                <w:kern w:val="0"/>
                <w:sz w:val="24"/>
                <w:szCs w:val="24"/>
                <w:highlight w:val="none"/>
              </w:rPr>
              <w:t>质量要求</w:t>
            </w:r>
          </w:p>
        </w:tc>
        <w:tc>
          <w:tcPr>
            <w:tcW w:w="6057" w:type="dxa"/>
            <w:vAlign w:val="center"/>
          </w:tcPr>
          <w:p>
            <w:pPr>
              <w:pageBreakBefore w:val="0"/>
              <w:kinsoku/>
              <w:topLinePunct w:val="0"/>
              <w:autoSpaceDE w:val="0"/>
              <w:autoSpaceDN w:val="0"/>
              <w:bidi w:val="0"/>
              <w:adjustRightInd w:val="0"/>
              <w:spacing w:line="360" w:lineRule="auto"/>
              <w:rPr>
                <w:rFonts w:hint="eastAsia"/>
                <w:color w:val="000000"/>
                <w:sz w:val="24"/>
                <w:szCs w:val="24"/>
                <w:highlight w:val="none"/>
              </w:rPr>
            </w:pPr>
            <w:r>
              <w:rPr>
                <w:rFonts w:hint="eastAsia" w:ascii="宋体" w:hAnsi="宋体" w:cs="仿宋_GB2312"/>
                <w:color w:val="000000"/>
                <w:kern w:val="0"/>
                <w:sz w:val="24"/>
                <w:szCs w:val="24"/>
                <w:highlight w:val="none"/>
              </w:rPr>
              <w:t>质量标准：符合现行国家有关验收规范和标准的要求合格。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90" w:type="dxa"/>
            <w:vAlign w:val="center"/>
          </w:tcPr>
          <w:p>
            <w:pPr>
              <w:pageBreakBefore w:val="0"/>
              <w:kinsoku/>
              <w:topLinePunct w:val="0"/>
              <w:bidi w:val="0"/>
              <w:spacing w:line="360" w:lineRule="auto"/>
              <w:jc w:val="center"/>
              <w:rPr>
                <w:rFonts w:hint="eastAsia"/>
                <w:color w:val="000000"/>
                <w:sz w:val="24"/>
                <w:szCs w:val="24"/>
                <w:highlight w:val="none"/>
              </w:rPr>
            </w:pPr>
            <w:r>
              <w:rPr>
                <w:rFonts w:hint="eastAsia"/>
                <w:color w:val="000000"/>
                <w:sz w:val="24"/>
                <w:szCs w:val="24"/>
                <w:highlight w:val="none"/>
              </w:rPr>
              <w:t>3.2</w:t>
            </w:r>
          </w:p>
        </w:tc>
        <w:tc>
          <w:tcPr>
            <w:tcW w:w="2058" w:type="dxa"/>
            <w:vAlign w:val="center"/>
          </w:tcPr>
          <w:p>
            <w:pPr>
              <w:pStyle w:val="35"/>
              <w:pageBreakBefore w:val="0"/>
              <w:kinsoku/>
              <w:topLinePunct w:val="0"/>
              <w:bidi w:val="0"/>
              <w:spacing w:line="360" w:lineRule="auto"/>
              <w:jc w:val="center"/>
              <w:rPr>
                <w:rFonts w:hint="eastAsia"/>
                <w:b/>
                <w:bCs w:val="0"/>
                <w:color w:val="000000"/>
                <w:sz w:val="24"/>
                <w:szCs w:val="24"/>
                <w:highlight w:val="none"/>
                <w:lang w:eastAsia="zh-CN"/>
              </w:rPr>
            </w:pPr>
            <w:r>
              <w:rPr>
                <w:rFonts w:hint="eastAsia"/>
                <w:b/>
                <w:bCs w:val="0"/>
                <w:color w:val="000000"/>
                <w:sz w:val="24"/>
                <w:szCs w:val="24"/>
                <w:highlight w:val="none"/>
                <w:lang w:eastAsia="zh-CN"/>
              </w:rPr>
              <w:t>委托代表人的资格条件</w:t>
            </w:r>
          </w:p>
        </w:tc>
        <w:tc>
          <w:tcPr>
            <w:tcW w:w="6057" w:type="dxa"/>
            <w:vAlign w:val="center"/>
          </w:tcPr>
          <w:p>
            <w:pPr>
              <w:pStyle w:val="35"/>
              <w:pageBreakBefore w:val="0"/>
              <w:kinsoku/>
              <w:topLinePunct w:val="0"/>
              <w:bidi w:val="0"/>
              <w:spacing w:line="360" w:lineRule="auto"/>
              <w:rPr>
                <w:rFonts w:hint="eastAsia"/>
                <w:b/>
                <w:bCs w:val="0"/>
                <w:color w:val="000000"/>
                <w:sz w:val="24"/>
                <w:szCs w:val="24"/>
                <w:highlight w:val="none"/>
                <w:lang w:eastAsia="zh-CN"/>
              </w:rPr>
            </w:pPr>
            <w:r>
              <w:rPr>
                <w:rFonts w:hint="eastAsia"/>
                <w:b/>
                <w:bCs w:val="0"/>
                <w:color w:val="000000"/>
                <w:sz w:val="24"/>
                <w:szCs w:val="24"/>
                <w:highlight w:val="none"/>
                <w:lang w:eastAsia="zh-CN"/>
              </w:rPr>
              <w:t>磋商时需提供法人代表授权委托书及被授权人身份证复印件。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0" w:type="dxa"/>
            <w:vAlign w:val="center"/>
          </w:tcPr>
          <w:p>
            <w:pPr>
              <w:pageBreakBefore w:val="0"/>
              <w:kinsoku/>
              <w:topLinePunct w:val="0"/>
              <w:bidi w:val="0"/>
              <w:spacing w:line="360" w:lineRule="auto"/>
              <w:jc w:val="center"/>
              <w:rPr>
                <w:rFonts w:hint="eastAsia"/>
                <w:color w:val="000000"/>
                <w:sz w:val="24"/>
                <w:szCs w:val="24"/>
                <w:highlight w:val="none"/>
              </w:rPr>
            </w:pPr>
            <w:r>
              <w:rPr>
                <w:rFonts w:hint="eastAsia"/>
                <w:color w:val="000000"/>
                <w:sz w:val="24"/>
                <w:szCs w:val="24"/>
                <w:highlight w:val="none"/>
              </w:rPr>
              <w:t>3.3</w:t>
            </w:r>
          </w:p>
        </w:tc>
        <w:tc>
          <w:tcPr>
            <w:tcW w:w="2058" w:type="dxa"/>
            <w:vAlign w:val="center"/>
          </w:tcPr>
          <w:p>
            <w:pPr>
              <w:pStyle w:val="35"/>
              <w:pageBreakBefore w:val="0"/>
              <w:kinsoku/>
              <w:topLinePunct w:val="0"/>
              <w:bidi w:val="0"/>
              <w:spacing w:line="360" w:lineRule="auto"/>
              <w:jc w:val="center"/>
              <w:rPr>
                <w:rFonts w:hint="eastAsia"/>
                <w:color w:val="000000"/>
                <w:sz w:val="24"/>
                <w:szCs w:val="24"/>
                <w:highlight w:val="none"/>
                <w:lang w:eastAsia="zh-CN"/>
              </w:rPr>
            </w:pPr>
            <w:r>
              <w:rPr>
                <w:rFonts w:hint="eastAsia"/>
                <w:color w:val="000000"/>
                <w:sz w:val="24"/>
                <w:szCs w:val="24"/>
                <w:highlight w:val="none"/>
                <w:lang w:eastAsia="zh-CN"/>
              </w:rPr>
              <w:t>委托代表人的代理权限</w:t>
            </w:r>
          </w:p>
        </w:tc>
        <w:tc>
          <w:tcPr>
            <w:tcW w:w="6057" w:type="dxa"/>
            <w:vAlign w:val="center"/>
          </w:tcPr>
          <w:p>
            <w:pPr>
              <w:pStyle w:val="35"/>
              <w:pageBreakBefore w:val="0"/>
              <w:kinsoku/>
              <w:topLinePunct w:val="0"/>
              <w:bidi w:val="0"/>
              <w:spacing w:line="360" w:lineRule="auto"/>
              <w:rPr>
                <w:rFonts w:hint="eastAsia"/>
                <w:color w:val="000000"/>
                <w:sz w:val="24"/>
                <w:szCs w:val="24"/>
                <w:highlight w:val="none"/>
                <w:lang w:eastAsia="zh-CN"/>
              </w:rPr>
            </w:pPr>
            <w:r>
              <w:rPr>
                <w:rFonts w:hint="eastAsia"/>
                <w:color w:val="000000"/>
                <w:sz w:val="24"/>
                <w:szCs w:val="24"/>
                <w:highlight w:val="none"/>
                <w:lang w:eastAsia="zh-CN"/>
              </w:rPr>
              <w:t>委托代表人只能代表委托人处置磋商活动中的一般事务。提出询问、质疑、投诉等</w:t>
            </w:r>
            <w:r>
              <w:rPr>
                <w:rFonts w:hint="eastAsia" w:cs="宋体"/>
                <w:bCs w:val="0"/>
                <w:color w:val="000000"/>
                <w:sz w:val="24"/>
                <w:szCs w:val="24"/>
                <w:highlight w:val="none"/>
                <w:lang w:eastAsia="zh-CN"/>
              </w:rPr>
              <w:t>特殊</w:t>
            </w:r>
            <w:r>
              <w:rPr>
                <w:rFonts w:hint="eastAsia"/>
                <w:color w:val="000000"/>
                <w:sz w:val="24"/>
                <w:szCs w:val="24"/>
                <w:highlight w:val="none"/>
                <w:lang w:eastAsia="zh-CN"/>
              </w:rPr>
              <w:t>事项，必须经法定代表人特别授权。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0" w:type="dxa"/>
            <w:vAlign w:val="center"/>
          </w:tcPr>
          <w:p>
            <w:pPr>
              <w:pageBreakBefore w:val="0"/>
              <w:kinsoku/>
              <w:topLinePunct w:val="0"/>
              <w:bidi w:val="0"/>
              <w:spacing w:line="360" w:lineRule="auto"/>
              <w:jc w:val="center"/>
              <w:rPr>
                <w:rFonts w:hint="eastAsia"/>
                <w:color w:val="000000"/>
                <w:sz w:val="24"/>
                <w:szCs w:val="24"/>
                <w:highlight w:val="none"/>
              </w:rPr>
            </w:pPr>
            <w:r>
              <w:rPr>
                <w:rFonts w:hint="eastAsia"/>
                <w:color w:val="000000"/>
                <w:sz w:val="24"/>
                <w:szCs w:val="24"/>
                <w:highlight w:val="none"/>
              </w:rPr>
              <w:t>7.1</w:t>
            </w:r>
          </w:p>
        </w:tc>
        <w:tc>
          <w:tcPr>
            <w:tcW w:w="2058" w:type="dxa"/>
            <w:vAlign w:val="center"/>
          </w:tcPr>
          <w:p>
            <w:pPr>
              <w:pStyle w:val="35"/>
              <w:pageBreakBefore w:val="0"/>
              <w:kinsoku/>
              <w:topLinePunct w:val="0"/>
              <w:bidi w:val="0"/>
              <w:spacing w:line="360" w:lineRule="auto"/>
              <w:jc w:val="center"/>
              <w:rPr>
                <w:rFonts w:hint="eastAsia"/>
                <w:color w:val="000000"/>
                <w:sz w:val="24"/>
                <w:szCs w:val="24"/>
                <w:highlight w:val="none"/>
                <w:lang w:eastAsia="zh-CN"/>
              </w:rPr>
            </w:pPr>
            <w:r>
              <w:rPr>
                <w:rFonts w:hint="eastAsia"/>
                <w:color w:val="000000"/>
                <w:sz w:val="24"/>
                <w:szCs w:val="24"/>
                <w:highlight w:val="none"/>
                <w:lang w:eastAsia="zh-CN"/>
              </w:rPr>
              <w:t>现场考察和答疑会</w:t>
            </w:r>
          </w:p>
        </w:tc>
        <w:tc>
          <w:tcPr>
            <w:tcW w:w="6057" w:type="dxa"/>
            <w:vAlign w:val="center"/>
          </w:tcPr>
          <w:p>
            <w:pPr>
              <w:pStyle w:val="35"/>
              <w:pageBreakBefore w:val="0"/>
              <w:kinsoku/>
              <w:topLinePunct w:val="0"/>
              <w:bidi w:val="0"/>
              <w:spacing w:line="360" w:lineRule="auto"/>
              <w:rPr>
                <w:rFonts w:hint="eastAsia"/>
                <w:color w:val="000000"/>
                <w:sz w:val="24"/>
                <w:szCs w:val="24"/>
                <w:highlight w:val="none"/>
                <w:lang w:eastAsia="zh-CN"/>
              </w:rPr>
            </w:pPr>
            <w:r>
              <w:rPr>
                <w:rFonts w:hint="eastAsia"/>
                <w:color w:val="000000"/>
                <w:sz w:val="24"/>
                <w:szCs w:val="24"/>
                <w:highlight w:val="none"/>
                <w:lang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0" w:type="dxa"/>
            <w:vAlign w:val="center"/>
          </w:tcPr>
          <w:p>
            <w:pPr>
              <w:pageBreakBefore w:val="0"/>
              <w:kinsoku/>
              <w:topLinePunct w:val="0"/>
              <w:bidi w:val="0"/>
              <w:spacing w:line="360" w:lineRule="auto"/>
              <w:jc w:val="center"/>
              <w:rPr>
                <w:rFonts w:hint="eastAsia"/>
                <w:color w:val="000000"/>
                <w:sz w:val="24"/>
                <w:szCs w:val="24"/>
                <w:highlight w:val="none"/>
              </w:rPr>
            </w:pPr>
            <w:r>
              <w:rPr>
                <w:rFonts w:hint="eastAsia"/>
                <w:color w:val="000000"/>
                <w:sz w:val="24"/>
                <w:szCs w:val="24"/>
                <w:highlight w:val="none"/>
              </w:rPr>
              <w:t>12.3</w:t>
            </w:r>
          </w:p>
        </w:tc>
        <w:tc>
          <w:tcPr>
            <w:tcW w:w="2058" w:type="dxa"/>
            <w:vAlign w:val="center"/>
          </w:tcPr>
          <w:p>
            <w:pPr>
              <w:pStyle w:val="35"/>
              <w:pageBreakBefore w:val="0"/>
              <w:kinsoku/>
              <w:topLinePunct w:val="0"/>
              <w:bidi w:val="0"/>
              <w:spacing w:line="360" w:lineRule="auto"/>
              <w:jc w:val="center"/>
              <w:rPr>
                <w:rFonts w:hint="eastAsia"/>
                <w:color w:val="000000"/>
                <w:sz w:val="24"/>
                <w:szCs w:val="24"/>
                <w:highlight w:val="none"/>
                <w:lang w:eastAsia="zh-CN"/>
              </w:rPr>
            </w:pPr>
            <w:r>
              <w:rPr>
                <w:rFonts w:hint="eastAsia"/>
                <w:color w:val="000000"/>
                <w:sz w:val="24"/>
                <w:szCs w:val="24"/>
                <w:highlight w:val="none"/>
                <w:lang w:eastAsia="zh-CN"/>
              </w:rPr>
              <w:t>是否允许</w:t>
            </w:r>
          </w:p>
          <w:p>
            <w:pPr>
              <w:pStyle w:val="35"/>
              <w:pageBreakBefore w:val="0"/>
              <w:kinsoku/>
              <w:topLinePunct w:val="0"/>
              <w:bidi w:val="0"/>
              <w:spacing w:line="360" w:lineRule="auto"/>
              <w:jc w:val="center"/>
              <w:rPr>
                <w:rFonts w:hint="eastAsia"/>
                <w:color w:val="000000"/>
                <w:sz w:val="24"/>
                <w:szCs w:val="24"/>
                <w:highlight w:val="none"/>
                <w:lang w:eastAsia="zh-CN"/>
              </w:rPr>
            </w:pPr>
            <w:r>
              <w:rPr>
                <w:rFonts w:hint="eastAsia"/>
                <w:color w:val="000000"/>
                <w:sz w:val="24"/>
                <w:szCs w:val="24"/>
                <w:highlight w:val="none"/>
                <w:lang w:eastAsia="zh-CN"/>
              </w:rPr>
              <w:t>选择性报价</w:t>
            </w:r>
          </w:p>
        </w:tc>
        <w:tc>
          <w:tcPr>
            <w:tcW w:w="6057" w:type="dxa"/>
            <w:vAlign w:val="center"/>
          </w:tcPr>
          <w:p>
            <w:pPr>
              <w:pageBreakBefore w:val="0"/>
              <w:kinsoku/>
              <w:topLinePunct w:val="0"/>
              <w:autoSpaceDE w:val="0"/>
              <w:autoSpaceDN w:val="0"/>
              <w:bidi w:val="0"/>
              <w:adjustRightInd w:val="0"/>
              <w:spacing w:line="360" w:lineRule="auto"/>
              <w:rPr>
                <w:rFonts w:hint="eastAsia"/>
                <w:color w:val="000000"/>
                <w:sz w:val="24"/>
                <w:szCs w:val="24"/>
                <w:highlight w:val="none"/>
              </w:rPr>
            </w:pPr>
            <w:r>
              <w:rPr>
                <w:rFonts w:hint="eastAsia"/>
                <w:color w:val="000000"/>
                <w:sz w:val="24"/>
                <w:szCs w:val="24"/>
                <w:highlight w:val="none"/>
              </w:rPr>
              <w:t>不接受选择性报价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90" w:type="dxa"/>
            <w:vAlign w:val="center"/>
          </w:tcPr>
          <w:p>
            <w:pPr>
              <w:pageBreakBefore w:val="0"/>
              <w:kinsoku/>
              <w:topLinePunct w:val="0"/>
              <w:bidi w:val="0"/>
              <w:spacing w:line="360" w:lineRule="auto"/>
              <w:jc w:val="center"/>
              <w:rPr>
                <w:rFonts w:hint="eastAsia"/>
                <w:color w:val="000000"/>
                <w:sz w:val="24"/>
                <w:szCs w:val="24"/>
                <w:highlight w:val="none"/>
              </w:rPr>
            </w:pPr>
            <w:r>
              <w:rPr>
                <w:rFonts w:hint="eastAsia"/>
                <w:color w:val="000000"/>
                <w:sz w:val="24"/>
                <w:szCs w:val="24"/>
                <w:highlight w:val="none"/>
              </w:rPr>
              <w:t>13.1</w:t>
            </w:r>
          </w:p>
        </w:tc>
        <w:tc>
          <w:tcPr>
            <w:tcW w:w="2058" w:type="dxa"/>
            <w:vAlign w:val="center"/>
          </w:tcPr>
          <w:p>
            <w:pPr>
              <w:pStyle w:val="35"/>
              <w:pageBreakBefore w:val="0"/>
              <w:kinsoku/>
              <w:topLinePunct w:val="0"/>
              <w:bidi w:val="0"/>
              <w:spacing w:line="360" w:lineRule="auto"/>
              <w:jc w:val="center"/>
              <w:rPr>
                <w:rFonts w:hint="eastAsia"/>
                <w:color w:val="000000"/>
                <w:sz w:val="24"/>
                <w:szCs w:val="24"/>
                <w:highlight w:val="none"/>
                <w:lang w:eastAsia="zh-CN"/>
              </w:rPr>
            </w:pPr>
            <w:r>
              <w:rPr>
                <w:rFonts w:hint="eastAsia"/>
                <w:color w:val="000000"/>
                <w:sz w:val="24"/>
                <w:szCs w:val="24"/>
                <w:highlight w:val="none"/>
                <w:lang w:eastAsia="zh-CN"/>
              </w:rPr>
              <w:t>磋商保证金数额</w:t>
            </w:r>
          </w:p>
        </w:tc>
        <w:tc>
          <w:tcPr>
            <w:tcW w:w="6057" w:type="dxa"/>
            <w:vAlign w:val="center"/>
          </w:tcPr>
          <w:p>
            <w:pPr>
              <w:pStyle w:val="35"/>
              <w:pageBreakBefore w:val="0"/>
              <w:kinsoku/>
              <w:topLinePunct w:val="0"/>
              <w:bidi w:val="0"/>
              <w:snapToGrid w:val="0"/>
              <w:spacing w:line="360" w:lineRule="auto"/>
              <w:rPr>
                <w:rFonts w:hint="default" w:eastAsia="宋体"/>
                <w:color w:val="000000"/>
                <w:sz w:val="24"/>
                <w:szCs w:val="24"/>
                <w:highlight w:val="none"/>
                <w:lang w:val="en-US" w:eastAsia="zh-CN"/>
              </w:rPr>
            </w:pPr>
            <w:r>
              <w:rPr>
                <w:rFonts w:hint="eastAsia"/>
                <w:color w:val="000000"/>
                <w:sz w:val="24"/>
                <w:szCs w:val="24"/>
                <w:highlight w:val="none"/>
                <w:lang w:val="en-US" w:eastAsia="zh-CN"/>
              </w:rPr>
              <w:t>A包：￥10000.00元（壹万元整）；B包￥5000.00元（伍仟元整）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90" w:type="dxa"/>
            <w:vAlign w:val="center"/>
          </w:tcPr>
          <w:p>
            <w:pPr>
              <w:pageBreakBefore w:val="0"/>
              <w:kinsoku/>
              <w:topLinePunct w:val="0"/>
              <w:bidi w:val="0"/>
              <w:spacing w:line="360" w:lineRule="auto"/>
              <w:jc w:val="center"/>
              <w:rPr>
                <w:rFonts w:hint="eastAsia"/>
                <w:color w:val="000000"/>
                <w:sz w:val="24"/>
                <w:szCs w:val="24"/>
                <w:highlight w:val="none"/>
              </w:rPr>
            </w:pPr>
            <w:r>
              <w:rPr>
                <w:rFonts w:hint="eastAsia"/>
                <w:color w:val="000000"/>
                <w:sz w:val="24"/>
                <w:szCs w:val="24"/>
                <w:highlight w:val="none"/>
              </w:rPr>
              <w:t>13.2</w:t>
            </w:r>
          </w:p>
        </w:tc>
        <w:tc>
          <w:tcPr>
            <w:tcW w:w="2058" w:type="dxa"/>
            <w:vAlign w:val="center"/>
          </w:tcPr>
          <w:p>
            <w:pPr>
              <w:pStyle w:val="35"/>
              <w:pageBreakBefore w:val="0"/>
              <w:kinsoku/>
              <w:topLinePunct w:val="0"/>
              <w:bidi w:val="0"/>
              <w:spacing w:line="360" w:lineRule="auto"/>
              <w:jc w:val="center"/>
              <w:rPr>
                <w:rFonts w:hint="eastAsia"/>
                <w:color w:val="000000"/>
                <w:sz w:val="24"/>
                <w:szCs w:val="24"/>
                <w:highlight w:val="none"/>
                <w:lang w:eastAsia="zh-CN"/>
              </w:rPr>
            </w:pPr>
            <w:r>
              <w:rPr>
                <w:rFonts w:hint="eastAsia"/>
                <w:color w:val="000000"/>
                <w:sz w:val="24"/>
                <w:szCs w:val="24"/>
                <w:highlight w:val="none"/>
                <w:lang w:eastAsia="zh-CN"/>
              </w:rPr>
              <w:t>磋商保证金</w:t>
            </w:r>
          </w:p>
          <w:p>
            <w:pPr>
              <w:pStyle w:val="35"/>
              <w:pageBreakBefore w:val="0"/>
              <w:kinsoku/>
              <w:topLinePunct w:val="0"/>
              <w:bidi w:val="0"/>
              <w:spacing w:line="360" w:lineRule="auto"/>
              <w:jc w:val="center"/>
              <w:rPr>
                <w:rFonts w:hint="eastAsia"/>
                <w:color w:val="000000"/>
                <w:sz w:val="24"/>
                <w:szCs w:val="24"/>
                <w:highlight w:val="none"/>
                <w:lang w:eastAsia="zh-CN"/>
              </w:rPr>
            </w:pPr>
            <w:r>
              <w:rPr>
                <w:rFonts w:hint="eastAsia"/>
                <w:color w:val="000000"/>
                <w:sz w:val="24"/>
                <w:szCs w:val="24"/>
                <w:highlight w:val="none"/>
                <w:lang w:eastAsia="zh-CN"/>
              </w:rPr>
              <w:t>缴纳时间</w:t>
            </w:r>
          </w:p>
        </w:tc>
        <w:tc>
          <w:tcPr>
            <w:tcW w:w="6057" w:type="dxa"/>
            <w:vAlign w:val="center"/>
          </w:tcPr>
          <w:p>
            <w:pPr>
              <w:pStyle w:val="35"/>
              <w:pageBreakBefore w:val="0"/>
              <w:kinsoku/>
              <w:topLinePunct w:val="0"/>
              <w:bidi w:val="0"/>
              <w:snapToGrid w:val="0"/>
              <w:spacing w:line="360" w:lineRule="auto"/>
              <w:rPr>
                <w:rFonts w:hint="eastAsia"/>
                <w:color w:val="auto"/>
                <w:sz w:val="24"/>
                <w:szCs w:val="24"/>
                <w:highlight w:val="none"/>
                <w:lang w:eastAsia="zh-CN"/>
              </w:rPr>
            </w:pPr>
            <w:r>
              <w:rPr>
                <w:rFonts w:hint="eastAsia"/>
                <w:color w:val="auto"/>
                <w:sz w:val="24"/>
                <w:szCs w:val="24"/>
                <w:highlight w:val="none"/>
                <w:lang w:eastAsia="zh-CN"/>
              </w:rPr>
              <w:t>20</w:t>
            </w:r>
            <w:r>
              <w:rPr>
                <w:rFonts w:hint="eastAsia"/>
                <w:color w:val="auto"/>
                <w:sz w:val="24"/>
                <w:szCs w:val="24"/>
                <w:highlight w:val="none"/>
                <w:lang w:val="en-US" w:eastAsia="zh-CN"/>
              </w:rPr>
              <w:t>23</w:t>
            </w:r>
            <w:r>
              <w:rPr>
                <w:rFonts w:hint="eastAsia"/>
                <w:color w:val="auto"/>
                <w:sz w:val="24"/>
                <w:szCs w:val="24"/>
                <w:highlight w:val="none"/>
              </w:rPr>
              <w:t>年</w:t>
            </w:r>
            <w:r>
              <w:rPr>
                <w:rFonts w:hint="eastAsia"/>
                <w:color w:val="auto"/>
                <w:sz w:val="24"/>
                <w:szCs w:val="24"/>
                <w:highlight w:val="none"/>
                <w:lang w:val="en-US" w:eastAsia="zh-CN"/>
              </w:rPr>
              <w:t>8</w:t>
            </w:r>
            <w:r>
              <w:rPr>
                <w:rFonts w:hint="eastAsia"/>
                <w:color w:val="auto"/>
                <w:sz w:val="24"/>
                <w:szCs w:val="24"/>
                <w:highlight w:val="none"/>
              </w:rPr>
              <w:t>月</w:t>
            </w:r>
            <w:r>
              <w:rPr>
                <w:rFonts w:hint="eastAsia"/>
                <w:color w:val="auto"/>
                <w:sz w:val="24"/>
                <w:szCs w:val="24"/>
                <w:highlight w:val="none"/>
                <w:lang w:val="en-US" w:eastAsia="zh-CN"/>
              </w:rPr>
              <w:t>7</w:t>
            </w:r>
            <w:r>
              <w:rPr>
                <w:rFonts w:hint="eastAsia"/>
                <w:color w:val="auto"/>
                <w:sz w:val="24"/>
                <w:szCs w:val="24"/>
                <w:highlight w:val="none"/>
              </w:rPr>
              <w:t>日</w:t>
            </w:r>
            <w:r>
              <w:rPr>
                <w:rFonts w:hint="eastAsia"/>
                <w:color w:val="auto"/>
                <w:sz w:val="24"/>
                <w:szCs w:val="24"/>
                <w:highlight w:val="none"/>
                <w:lang w:val="en-US" w:eastAsia="zh-CN"/>
              </w:rPr>
              <w:t>下</w:t>
            </w:r>
            <w:bookmarkStart w:id="229" w:name="_GoBack"/>
            <w:bookmarkEnd w:id="229"/>
            <w:r>
              <w:rPr>
                <w:rFonts w:hint="eastAsia"/>
                <w:color w:val="auto"/>
                <w:sz w:val="24"/>
                <w:szCs w:val="24"/>
                <w:highlight w:val="none"/>
                <w:lang w:eastAsia="zh-CN"/>
              </w:rPr>
              <w:t>午</w:t>
            </w:r>
            <w:r>
              <w:rPr>
                <w:rFonts w:hint="eastAsia"/>
                <w:color w:val="auto"/>
                <w:sz w:val="24"/>
                <w:szCs w:val="24"/>
                <w:highlight w:val="none"/>
                <w:lang w:val="en-US" w:eastAsia="zh-CN"/>
              </w:rPr>
              <w:t>14</w:t>
            </w:r>
            <w:r>
              <w:rPr>
                <w:rFonts w:hint="eastAsia"/>
                <w:color w:val="auto"/>
                <w:sz w:val="24"/>
                <w:szCs w:val="24"/>
                <w:highlight w:val="none"/>
                <w:lang w:eastAsia="zh-CN"/>
              </w:rPr>
              <w:t>:</w:t>
            </w:r>
            <w:r>
              <w:rPr>
                <w:rFonts w:hint="eastAsia"/>
                <w:color w:val="auto"/>
                <w:sz w:val="24"/>
                <w:szCs w:val="24"/>
                <w:highlight w:val="none"/>
                <w:lang w:val="en-US" w:eastAsia="zh-CN"/>
              </w:rPr>
              <w:t>3</w:t>
            </w:r>
            <w:r>
              <w:rPr>
                <w:rFonts w:hint="eastAsia"/>
                <w:color w:val="auto"/>
                <w:sz w:val="24"/>
                <w:szCs w:val="24"/>
                <w:highlight w:val="none"/>
                <w:lang w:eastAsia="zh-CN"/>
              </w:rPr>
              <w:t>0 :</w:t>
            </w:r>
            <w:r>
              <w:rPr>
                <w:rFonts w:hint="eastAsia"/>
                <w:color w:val="auto"/>
                <w:sz w:val="24"/>
                <w:szCs w:val="24"/>
                <w:highlight w:val="none"/>
                <w:lang w:val="en-US" w:eastAsia="zh-CN"/>
              </w:rPr>
              <w:t>0</w:t>
            </w:r>
            <w:r>
              <w:rPr>
                <w:rFonts w:hint="eastAsia"/>
                <w:color w:val="auto"/>
                <w:sz w:val="24"/>
                <w:szCs w:val="24"/>
                <w:highlight w:val="none"/>
                <w:lang w:eastAsia="zh-CN"/>
              </w:rPr>
              <w:t>0</w:t>
            </w:r>
            <w:r>
              <w:rPr>
                <w:rFonts w:hint="eastAsia"/>
                <w:color w:val="auto"/>
                <w:sz w:val="24"/>
                <w:szCs w:val="24"/>
                <w:highlight w:val="none"/>
              </w:rPr>
              <w:t>前</w:t>
            </w:r>
          </w:p>
          <w:p>
            <w:pPr>
              <w:pStyle w:val="35"/>
              <w:pageBreakBefore w:val="0"/>
              <w:kinsoku/>
              <w:topLinePunct w:val="0"/>
              <w:bidi w:val="0"/>
              <w:snapToGrid w:val="0"/>
              <w:spacing w:line="360" w:lineRule="auto"/>
              <w:rPr>
                <w:rFonts w:hint="eastAsia"/>
                <w:color w:val="000000"/>
                <w:sz w:val="24"/>
                <w:szCs w:val="24"/>
                <w:highlight w:val="none"/>
                <w:lang w:eastAsia="zh-CN"/>
              </w:rPr>
            </w:pPr>
            <w:r>
              <w:rPr>
                <w:rFonts w:hint="eastAsia"/>
                <w:color w:val="000000"/>
                <w:sz w:val="24"/>
                <w:szCs w:val="24"/>
                <w:highlight w:val="none"/>
                <w:lang w:eastAsia="zh-CN"/>
              </w:rPr>
              <w:t>注：以实际到账为准，逾期不予接收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790" w:type="dxa"/>
            <w:vAlign w:val="center"/>
          </w:tcPr>
          <w:p>
            <w:pPr>
              <w:pageBreakBefore w:val="0"/>
              <w:kinsoku/>
              <w:topLinePunct w:val="0"/>
              <w:bidi w:val="0"/>
              <w:spacing w:line="360" w:lineRule="auto"/>
              <w:jc w:val="center"/>
              <w:rPr>
                <w:rFonts w:hint="eastAsia"/>
                <w:color w:val="000000"/>
                <w:sz w:val="24"/>
                <w:szCs w:val="24"/>
                <w:highlight w:val="none"/>
              </w:rPr>
            </w:pPr>
            <w:r>
              <w:rPr>
                <w:rFonts w:hint="eastAsia"/>
                <w:color w:val="000000"/>
                <w:sz w:val="24"/>
                <w:szCs w:val="24"/>
                <w:highlight w:val="none"/>
              </w:rPr>
              <w:t>13.4</w:t>
            </w:r>
          </w:p>
        </w:tc>
        <w:tc>
          <w:tcPr>
            <w:tcW w:w="2058" w:type="dxa"/>
            <w:vAlign w:val="center"/>
          </w:tcPr>
          <w:p>
            <w:pPr>
              <w:pStyle w:val="35"/>
              <w:pageBreakBefore w:val="0"/>
              <w:kinsoku/>
              <w:topLinePunct w:val="0"/>
              <w:bidi w:val="0"/>
              <w:spacing w:line="360" w:lineRule="auto"/>
              <w:jc w:val="center"/>
              <w:rPr>
                <w:rFonts w:hint="eastAsia"/>
                <w:color w:val="000000"/>
                <w:sz w:val="24"/>
                <w:szCs w:val="24"/>
                <w:highlight w:val="none"/>
                <w:lang w:eastAsia="zh-CN"/>
              </w:rPr>
            </w:pPr>
            <w:r>
              <w:rPr>
                <w:rFonts w:hint="eastAsia"/>
                <w:color w:val="000000"/>
                <w:sz w:val="24"/>
                <w:szCs w:val="24"/>
                <w:highlight w:val="none"/>
                <w:lang w:eastAsia="zh-CN"/>
              </w:rPr>
              <w:t>磋商保证金</w:t>
            </w:r>
          </w:p>
          <w:p>
            <w:pPr>
              <w:pStyle w:val="35"/>
              <w:pageBreakBefore w:val="0"/>
              <w:kinsoku/>
              <w:topLinePunct w:val="0"/>
              <w:bidi w:val="0"/>
              <w:spacing w:line="360" w:lineRule="auto"/>
              <w:jc w:val="center"/>
              <w:rPr>
                <w:rFonts w:hint="eastAsia"/>
                <w:color w:val="000000"/>
                <w:sz w:val="24"/>
                <w:szCs w:val="24"/>
                <w:highlight w:val="none"/>
              </w:rPr>
            </w:pPr>
            <w:r>
              <w:rPr>
                <w:rFonts w:hint="eastAsia"/>
                <w:color w:val="000000"/>
                <w:sz w:val="24"/>
                <w:szCs w:val="24"/>
                <w:highlight w:val="none"/>
                <w:lang w:eastAsia="zh-CN"/>
              </w:rPr>
              <w:t>缴纳方式</w:t>
            </w:r>
          </w:p>
        </w:tc>
        <w:tc>
          <w:tcPr>
            <w:tcW w:w="6057" w:type="dxa"/>
            <w:vAlign w:val="center"/>
          </w:tcPr>
          <w:p>
            <w:pPr>
              <w:pStyle w:val="35"/>
              <w:pageBreakBefore w:val="0"/>
              <w:kinsoku/>
              <w:topLinePunct w:val="0"/>
              <w:bidi w:val="0"/>
              <w:snapToGrid w:val="0"/>
              <w:spacing w:line="360" w:lineRule="auto"/>
              <w:rPr>
                <w:rFonts w:hint="eastAsia"/>
                <w:color w:val="000000"/>
                <w:sz w:val="24"/>
                <w:szCs w:val="24"/>
                <w:highlight w:val="none"/>
                <w:lang w:eastAsia="zh-CN"/>
              </w:rPr>
            </w:pPr>
            <w:r>
              <w:rPr>
                <w:rFonts w:hint="eastAsia" w:ascii="宋体" w:hAnsi="宋体" w:cs="宋体"/>
                <w:color w:val="000000"/>
                <w:kern w:val="10"/>
                <w:sz w:val="24"/>
                <w:highlight w:val="none"/>
                <w:shd w:val="clear" w:color="auto" w:fill="FFFFFF"/>
              </w:rPr>
              <w:t>投标保证金的形式：</w:t>
            </w:r>
            <w:r>
              <w:rPr>
                <w:rFonts w:hint="eastAsia" w:ascii="宋体" w:hAnsi="宋体" w:cs="宋体"/>
                <w:color w:val="000000"/>
                <w:kern w:val="10"/>
                <w:sz w:val="24"/>
                <w:highlight w:val="none"/>
                <w:u w:val="single"/>
                <w:shd w:val="clear" w:color="auto" w:fill="FFFFFF"/>
              </w:rPr>
              <w:t>以支票、汇票、本票、转账、银行保函支付</w:t>
            </w:r>
            <w:r>
              <w:rPr>
                <w:rFonts w:hint="eastAsia" w:ascii="宋体" w:hAnsi="宋体" w:cs="宋体"/>
                <w:color w:val="000000"/>
                <w:kern w:val="10"/>
                <w:sz w:val="24"/>
                <w:highlight w:val="none"/>
                <w:u w:val="single"/>
                <w:shd w:val="clear" w:color="auto" w:fill="FFFFFF"/>
                <w:lang w:eastAsia="zh-CN"/>
              </w:rPr>
              <w:t>等</w:t>
            </w:r>
            <w:r>
              <w:rPr>
                <w:rFonts w:hint="eastAsia" w:ascii="宋体" w:hAnsi="宋体" w:cs="宋体"/>
                <w:color w:val="000000"/>
                <w:kern w:val="10"/>
                <w:sz w:val="24"/>
                <w:highlight w:val="none"/>
                <w:u w:val="single"/>
                <w:shd w:val="clear" w:color="auto" w:fill="FFFFFF"/>
              </w:rPr>
              <w:t>形式提交</w:t>
            </w:r>
          </w:p>
          <w:p>
            <w:pPr>
              <w:pStyle w:val="35"/>
              <w:pageBreakBefore w:val="0"/>
              <w:kinsoku/>
              <w:topLinePunct w:val="0"/>
              <w:bidi w:val="0"/>
              <w:snapToGrid w:val="0"/>
              <w:spacing w:line="360" w:lineRule="auto"/>
              <w:rPr>
                <w:rFonts w:hint="eastAsia"/>
                <w:color w:val="000000"/>
                <w:sz w:val="24"/>
                <w:szCs w:val="24"/>
                <w:highlight w:val="none"/>
                <w:lang w:eastAsia="zh-CN"/>
              </w:rPr>
            </w:pPr>
            <w:r>
              <w:rPr>
                <w:rFonts w:hint="eastAsia"/>
                <w:color w:val="000000"/>
                <w:sz w:val="24"/>
                <w:szCs w:val="24"/>
                <w:highlight w:val="none"/>
                <w:lang w:eastAsia="zh-CN"/>
              </w:rPr>
              <w:t>磋商保证金实行银行转账的应支付到以下账户：</w:t>
            </w:r>
          </w:p>
          <w:p>
            <w:pPr>
              <w:pageBreakBefore w:val="0"/>
              <w:widowControl/>
              <w:tabs>
                <w:tab w:val="left" w:pos="4680"/>
              </w:tabs>
              <w:kinsoku/>
              <w:topLinePunct w:val="0"/>
              <w:bidi w:val="0"/>
              <w:snapToGrid w:val="0"/>
              <w:spacing w:line="360" w:lineRule="auto"/>
              <w:jc w:val="left"/>
              <w:rPr>
                <w:rFonts w:hint="eastAsia" w:eastAsia="宋体"/>
                <w:color w:val="000000"/>
                <w:sz w:val="24"/>
                <w:szCs w:val="24"/>
                <w:highlight w:val="none"/>
                <w:lang w:eastAsia="zh-CN"/>
              </w:rPr>
            </w:pPr>
            <w:r>
              <w:rPr>
                <w:rFonts w:hint="eastAsia"/>
                <w:color w:val="000000"/>
                <w:sz w:val="24"/>
                <w:szCs w:val="24"/>
                <w:highlight w:val="none"/>
              </w:rPr>
              <w:t>户  名：</w:t>
            </w:r>
            <w:r>
              <w:rPr>
                <w:rFonts w:hint="eastAsia"/>
                <w:color w:val="000000"/>
                <w:sz w:val="24"/>
                <w:szCs w:val="24"/>
                <w:highlight w:val="none"/>
                <w:lang w:eastAsia="zh-CN"/>
              </w:rPr>
              <w:t>海南</w:t>
            </w:r>
            <w:r>
              <w:rPr>
                <w:rFonts w:hint="eastAsia"/>
                <w:color w:val="000000"/>
                <w:sz w:val="24"/>
                <w:szCs w:val="24"/>
                <w:highlight w:val="none"/>
                <w:lang w:val="en-US" w:eastAsia="zh-CN"/>
              </w:rPr>
              <w:t>珑宸</w:t>
            </w:r>
            <w:r>
              <w:rPr>
                <w:rFonts w:hint="eastAsia"/>
                <w:color w:val="000000"/>
                <w:sz w:val="24"/>
                <w:szCs w:val="24"/>
                <w:highlight w:val="none"/>
                <w:lang w:eastAsia="zh-CN"/>
              </w:rPr>
              <w:t>项目管理有限公司</w:t>
            </w:r>
          </w:p>
          <w:p>
            <w:pPr>
              <w:pageBreakBefore w:val="0"/>
              <w:widowControl/>
              <w:tabs>
                <w:tab w:val="left" w:pos="4680"/>
              </w:tabs>
              <w:kinsoku/>
              <w:topLinePunct w:val="0"/>
              <w:bidi w:val="0"/>
              <w:snapToGrid w:val="0"/>
              <w:spacing w:line="360" w:lineRule="auto"/>
              <w:jc w:val="left"/>
              <w:rPr>
                <w:rFonts w:hint="eastAsia"/>
                <w:color w:val="000000"/>
                <w:sz w:val="24"/>
                <w:szCs w:val="24"/>
                <w:highlight w:val="none"/>
                <w:lang w:val="en-US" w:eastAsia="zh-CN"/>
              </w:rPr>
            </w:pPr>
            <w:r>
              <w:rPr>
                <w:rFonts w:hint="eastAsia"/>
                <w:color w:val="000000"/>
                <w:sz w:val="24"/>
                <w:szCs w:val="24"/>
                <w:highlight w:val="none"/>
              </w:rPr>
              <w:t>开户行：</w:t>
            </w:r>
            <w:r>
              <w:rPr>
                <w:rFonts w:hint="eastAsia"/>
                <w:color w:val="000000"/>
                <w:sz w:val="24"/>
                <w:szCs w:val="24"/>
                <w:highlight w:val="none"/>
                <w:lang w:val="en-US" w:eastAsia="zh-CN"/>
              </w:rPr>
              <w:t>中国建设银行股份有限公司海口海信支行</w:t>
            </w:r>
          </w:p>
          <w:p>
            <w:pPr>
              <w:pageBreakBefore w:val="0"/>
              <w:widowControl/>
              <w:tabs>
                <w:tab w:val="left" w:pos="4680"/>
              </w:tabs>
              <w:kinsoku/>
              <w:topLinePunct w:val="0"/>
              <w:bidi w:val="0"/>
              <w:snapToGrid w:val="0"/>
              <w:spacing w:line="360" w:lineRule="auto"/>
              <w:jc w:val="left"/>
              <w:rPr>
                <w:rFonts w:hint="default" w:eastAsia="宋体"/>
                <w:color w:val="000000"/>
                <w:sz w:val="24"/>
                <w:szCs w:val="24"/>
                <w:highlight w:val="none"/>
                <w:lang w:val="en-US" w:eastAsia="zh-CN"/>
              </w:rPr>
            </w:pPr>
            <w:r>
              <w:rPr>
                <w:rFonts w:hint="eastAsia"/>
                <w:color w:val="000000"/>
                <w:sz w:val="24"/>
                <w:szCs w:val="24"/>
                <w:highlight w:val="none"/>
              </w:rPr>
              <w:t>帐  户：</w:t>
            </w:r>
            <w:r>
              <w:rPr>
                <w:rFonts w:hint="eastAsia"/>
                <w:color w:val="000000"/>
                <w:sz w:val="24"/>
                <w:szCs w:val="24"/>
                <w:highlight w:val="none"/>
                <w:lang w:val="en-US" w:eastAsia="zh-CN"/>
              </w:rPr>
              <w:t>46050100473600001886</w:t>
            </w:r>
          </w:p>
          <w:p>
            <w:pPr>
              <w:pageBreakBefore w:val="0"/>
              <w:widowControl/>
              <w:tabs>
                <w:tab w:val="left" w:pos="4680"/>
              </w:tabs>
              <w:kinsoku/>
              <w:topLinePunct w:val="0"/>
              <w:bidi w:val="0"/>
              <w:snapToGrid w:val="0"/>
              <w:spacing w:line="360" w:lineRule="auto"/>
              <w:jc w:val="left"/>
              <w:rPr>
                <w:rFonts w:hint="eastAsia"/>
                <w:color w:val="000000"/>
                <w:sz w:val="24"/>
                <w:szCs w:val="24"/>
                <w:highlight w:val="none"/>
              </w:rPr>
            </w:pPr>
            <w:r>
              <w:rPr>
                <w:rFonts w:hint="eastAsia"/>
                <w:color w:val="000000"/>
                <w:sz w:val="24"/>
                <w:szCs w:val="24"/>
                <w:highlight w:val="none"/>
              </w:rPr>
              <w:t>注明用途：“</w:t>
            </w:r>
            <w:r>
              <w:rPr>
                <w:rFonts w:hint="eastAsia" w:ascii="宋体" w:hAnsi="宋体" w:eastAsia="宋体" w:cs="宋体"/>
                <w:b/>
                <w:color w:val="000000"/>
                <w:sz w:val="24"/>
                <w:szCs w:val="24"/>
                <w:lang w:val="en-US" w:eastAsia="zh-CN"/>
              </w:rPr>
              <w:t>HNLC-2023[12]—A/HNLC-2023[12]—B</w:t>
            </w:r>
            <w:r>
              <w:rPr>
                <w:rFonts w:hint="eastAsia"/>
                <w:color w:val="000000"/>
                <w:sz w:val="24"/>
                <w:szCs w:val="24"/>
                <w:highlight w:val="none"/>
              </w:rPr>
              <w:t>”项目投标保证金或“</w:t>
            </w:r>
            <w:r>
              <w:rPr>
                <w:rFonts w:hint="eastAsia"/>
                <w:b w:val="0"/>
                <w:bCs w:val="0"/>
                <w:color w:val="000000"/>
                <w:sz w:val="24"/>
                <w:szCs w:val="24"/>
                <w:u w:val="none"/>
                <w:lang w:val="en-US" w:eastAsia="zh-CN"/>
              </w:rPr>
              <w:t>2023年白沙县学前教育普及普惠项目-东片区校舍维修、绿化等附属工程A包”投标保证金/“2023年白沙县学前教育普及普惠项目-东片区校舍维修、绿化等附属工程B包</w:t>
            </w:r>
            <w:r>
              <w:rPr>
                <w:rFonts w:hint="eastAsia"/>
                <w:color w:val="000000"/>
                <w:sz w:val="24"/>
                <w:szCs w:val="24"/>
                <w:highlight w:val="none"/>
              </w:rPr>
              <w:t>”投标保证金。</w:t>
            </w:r>
          </w:p>
          <w:p>
            <w:pPr>
              <w:pageBreakBefore w:val="0"/>
              <w:widowControl/>
              <w:tabs>
                <w:tab w:val="left" w:pos="4680"/>
              </w:tabs>
              <w:kinsoku/>
              <w:topLinePunct w:val="0"/>
              <w:bidi w:val="0"/>
              <w:snapToGrid w:val="0"/>
              <w:spacing w:line="360" w:lineRule="auto"/>
              <w:jc w:val="left"/>
              <w:rPr>
                <w:rFonts w:hint="eastAsia"/>
                <w:color w:val="000000"/>
                <w:sz w:val="24"/>
                <w:szCs w:val="24"/>
                <w:highlight w:val="none"/>
              </w:rPr>
            </w:pPr>
            <w:r>
              <w:rPr>
                <w:rFonts w:hint="eastAsia"/>
                <w:color w:val="000000"/>
                <w:sz w:val="24"/>
                <w:szCs w:val="24"/>
                <w:highlight w:val="none"/>
              </w:rPr>
              <w:t>注：保证金须于响应文件递交截止时间前（以系统到账时间为准）。缴付人名称须与供应商名称相一致。严禁代缴。如供应商在响应文件中提供虚假材料，则没收保证金。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0" w:type="dxa"/>
            <w:vAlign w:val="center"/>
          </w:tcPr>
          <w:p>
            <w:pPr>
              <w:pageBreakBefore w:val="0"/>
              <w:kinsoku/>
              <w:topLinePunct w:val="0"/>
              <w:bidi w:val="0"/>
              <w:spacing w:line="360" w:lineRule="auto"/>
              <w:jc w:val="center"/>
              <w:rPr>
                <w:rFonts w:hint="eastAsia"/>
                <w:color w:val="000000"/>
                <w:sz w:val="24"/>
                <w:szCs w:val="24"/>
                <w:highlight w:val="none"/>
              </w:rPr>
            </w:pPr>
            <w:r>
              <w:rPr>
                <w:rFonts w:hint="eastAsia"/>
                <w:color w:val="000000"/>
                <w:sz w:val="24"/>
                <w:szCs w:val="24"/>
                <w:highlight w:val="none"/>
              </w:rPr>
              <w:t>14.1</w:t>
            </w:r>
          </w:p>
        </w:tc>
        <w:tc>
          <w:tcPr>
            <w:tcW w:w="2058" w:type="dxa"/>
            <w:vAlign w:val="center"/>
          </w:tcPr>
          <w:p>
            <w:pPr>
              <w:pStyle w:val="35"/>
              <w:pageBreakBefore w:val="0"/>
              <w:kinsoku/>
              <w:topLinePunct w:val="0"/>
              <w:bidi w:val="0"/>
              <w:spacing w:line="360" w:lineRule="auto"/>
              <w:jc w:val="center"/>
              <w:rPr>
                <w:rFonts w:hint="eastAsia"/>
                <w:color w:val="000000"/>
                <w:sz w:val="24"/>
                <w:szCs w:val="24"/>
                <w:highlight w:val="none"/>
              </w:rPr>
            </w:pPr>
            <w:r>
              <w:rPr>
                <w:rFonts w:hint="eastAsia"/>
                <w:color w:val="000000"/>
                <w:sz w:val="24"/>
                <w:szCs w:val="24"/>
                <w:highlight w:val="none"/>
                <w:lang w:eastAsia="zh-CN"/>
              </w:rPr>
              <w:t>响应文件</w:t>
            </w:r>
            <w:r>
              <w:rPr>
                <w:rFonts w:hint="eastAsia"/>
                <w:color w:val="000000"/>
                <w:sz w:val="24"/>
                <w:szCs w:val="24"/>
                <w:highlight w:val="none"/>
              </w:rPr>
              <w:t>有效期</w:t>
            </w:r>
          </w:p>
        </w:tc>
        <w:tc>
          <w:tcPr>
            <w:tcW w:w="6057" w:type="dxa"/>
            <w:vAlign w:val="center"/>
          </w:tcPr>
          <w:p>
            <w:pPr>
              <w:pStyle w:val="35"/>
              <w:pageBreakBefore w:val="0"/>
              <w:kinsoku/>
              <w:topLinePunct w:val="0"/>
              <w:bidi w:val="0"/>
              <w:spacing w:line="360" w:lineRule="auto"/>
              <w:rPr>
                <w:rFonts w:hint="eastAsia"/>
                <w:color w:val="000000"/>
                <w:sz w:val="24"/>
                <w:szCs w:val="24"/>
                <w:highlight w:val="none"/>
                <w:lang w:eastAsia="zh-CN"/>
              </w:rPr>
            </w:pPr>
            <w:r>
              <w:rPr>
                <w:rFonts w:hint="eastAsia"/>
                <w:color w:val="000000"/>
                <w:sz w:val="24"/>
                <w:szCs w:val="24"/>
                <w:highlight w:val="none"/>
              </w:rPr>
              <w:t>自</w:t>
            </w:r>
            <w:r>
              <w:rPr>
                <w:rFonts w:hint="eastAsia"/>
                <w:color w:val="000000"/>
                <w:sz w:val="24"/>
                <w:szCs w:val="24"/>
                <w:highlight w:val="none"/>
                <w:lang w:eastAsia="zh-CN"/>
              </w:rPr>
              <w:t>响应文件开启之</w:t>
            </w:r>
            <w:r>
              <w:rPr>
                <w:rFonts w:hint="eastAsia"/>
                <w:color w:val="000000"/>
                <w:sz w:val="24"/>
                <w:szCs w:val="24"/>
                <w:highlight w:val="none"/>
              </w:rPr>
              <w:t>日起</w:t>
            </w:r>
            <w:r>
              <w:rPr>
                <w:rFonts w:hint="eastAsia"/>
                <w:color w:val="000000"/>
                <w:sz w:val="24"/>
                <w:szCs w:val="24"/>
                <w:highlight w:val="none"/>
                <w:lang w:eastAsia="zh-CN"/>
              </w:rPr>
              <w:t>6</w:t>
            </w:r>
            <w:r>
              <w:rPr>
                <w:rFonts w:hint="eastAsia"/>
                <w:color w:val="000000"/>
                <w:sz w:val="24"/>
                <w:szCs w:val="24"/>
                <w:highlight w:val="none"/>
              </w:rPr>
              <w:t>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0" w:type="dxa"/>
            <w:vAlign w:val="center"/>
          </w:tcPr>
          <w:p>
            <w:pPr>
              <w:pageBreakBefore w:val="0"/>
              <w:kinsoku/>
              <w:topLinePunct w:val="0"/>
              <w:bidi w:val="0"/>
              <w:spacing w:line="360" w:lineRule="auto"/>
              <w:jc w:val="center"/>
              <w:rPr>
                <w:rFonts w:hint="eastAsia"/>
                <w:color w:val="000000"/>
                <w:sz w:val="24"/>
                <w:szCs w:val="24"/>
                <w:highlight w:val="none"/>
              </w:rPr>
            </w:pPr>
            <w:r>
              <w:rPr>
                <w:rFonts w:hint="eastAsia"/>
                <w:color w:val="000000"/>
                <w:sz w:val="24"/>
                <w:szCs w:val="24"/>
                <w:highlight w:val="none"/>
              </w:rPr>
              <w:t>15.1</w:t>
            </w:r>
          </w:p>
        </w:tc>
        <w:tc>
          <w:tcPr>
            <w:tcW w:w="2058" w:type="dxa"/>
            <w:vAlign w:val="center"/>
          </w:tcPr>
          <w:p>
            <w:pPr>
              <w:pStyle w:val="35"/>
              <w:pageBreakBefore w:val="0"/>
              <w:kinsoku/>
              <w:topLinePunct w:val="0"/>
              <w:bidi w:val="0"/>
              <w:spacing w:line="360" w:lineRule="auto"/>
              <w:jc w:val="center"/>
              <w:rPr>
                <w:rFonts w:hint="eastAsia"/>
                <w:color w:val="000000"/>
                <w:sz w:val="24"/>
                <w:szCs w:val="24"/>
                <w:highlight w:val="none"/>
                <w:lang w:eastAsia="zh-CN"/>
              </w:rPr>
            </w:pPr>
            <w:r>
              <w:rPr>
                <w:rFonts w:hint="eastAsia"/>
                <w:color w:val="000000"/>
                <w:sz w:val="24"/>
                <w:szCs w:val="24"/>
                <w:highlight w:val="none"/>
                <w:lang w:eastAsia="zh-CN"/>
              </w:rPr>
              <w:t>响应文件份数</w:t>
            </w:r>
          </w:p>
        </w:tc>
        <w:tc>
          <w:tcPr>
            <w:tcW w:w="6057" w:type="dxa"/>
            <w:vAlign w:val="center"/>
          </w:tcPr>
          <w:p>
            <w:pPr>
              <w:pStyle w:val="35"/>
              <w:pageBreakBefore w:val="0"/>
              <w:kinsoku/>
              <w:topLinePunct w:val="0"/>
              <w:bidi w:val="0"/>
              <w:spacing w:line="360" w:lineRule="auto"/>
              <w:rPr>
                <w:rFonts w:hint="default" w:eastAsia="宋体"/>
                <w:color w:val="000000"/>
                <w:sz w:val="24"/>
                <w:szCs w:val="24"/>
                <w:highlight w:val="none"/>
                <w:lang w:val="en-US" w:eastAsia="zh-CN"/>
              </w:rPr>
            </w:pPr>
            <w:r>
              <w:rPr>
                <w:rFonts w:hint="eastAsia"/>
                <w:color w:val="000000"/>
                <w:sz w:val="24"/>
                <w:szCs w:val="24"/>
                <w:highlight w:val="none"/>
              </w:rPr>
              <w:t>正本1份、副本</w:t>
            </w:r>
            <w:r>
              <w:rPr>
                <w:rFonts w:hint="eastAsia"/>
                <w:color w:val="000000"/>
                <w:sz w:val="24"/>
                <w:szCs w:val="24"/>
                <w:highlight w:val="none"/>
                <w:lang w:val="en-US" w:eastAsia="zh-CN"/>
              </w:rPr>
              <w:t>2</w:t>
            </w:r>
            <w:r>
              <w:rPr>
                <w:rFonts w:hint="eastAsia"/>
                <w:color w:val="000000"/>
                <w:sz w:val="24"/>
                <w:szCs w:val="24"/>
                <w:highlight w:val="none"/>
              </w:rPr>
              <w:t>份，电子版</w:t>
            </w:r>
            <w:r>
              <w:rPr>
                <w:rFonts w:hint="eastAsia"/>
                <w:color w:val="000000"/>
                <w:sz w:val="24"/>
                <w:szCs w:val="24"/>
                <w:highlight w:val="none"/>
                <w:lang w:eastAsia="zh-CN"/>
              </w:rPr>
              <w:t>响应文件</w:t>
            </w:r>
            <w:r>
              <w:rPr>
                <w:rFonts w:hint="eastAsia"/>
                <w:color w:val="000000"/>
                <w:sz w:val="24"/>
                <w:szCs w:val="24"/>
                <w:highlight w:val="none"/>
              </w:rPr>
              <w:t>1份</w:t>
            </w:r>
            <w:r>
              <w:rPr>
                <w:rFonts w:hint="eastAsia"/>
                <w:color w:val="000000"/>
                <w:sz w:val="24"/>
                <w:szCs w:val="24"/>
                <w:highlight w:val="none"/>
                <w:lang w:eastAsia="zh-CN"/>
              </w:rPr>
              <w:t>（</w:t>
            </w:r>
            <w:r>
              <w:rPr>
                <w:rFonts w:hint="eastAsia"/>
                <w:color w:val="000000"/>
                <w:sz w:val="24"/>
                <w:szCs w:val="24"/>
                <w:highlight w:val="none"/>
                <w:lang w:val="en-US" w:eastAsia="zh-CN"/>
              </w:rPr>
              <w:t>U盘、PDF盖章签字格式，需与正本一致）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0" w:type="dxa"/>
            <w:vAlign w:val="center"/>
          </w:tcPr>
          <w:p>
            <w:pPr>
              <w:pageBreakBefore w:val="0"/>
              <w:kinsoku/>
              <w:topLinePunct w:val="0"/>
              <w:bidi w:val="0"/>
              <w:spacing w:line="360" w:lineRule="auto"/>
              <w:jc w:val="center"/>
              <w:rPr>
                <w:rFonts w:hint="default" w:eastAsia="宋体"/>
                <w:color w:val="000000"/>
                <w:sz w:val="24"/>
                <w:szCs w:val="24"/>
                <w:highlight w:val="none"/>
                <w:lang w:val="en-US" w:eastAsia="zh-CN"/>
              </w:rPr>
            </w:pPr>
            <w:r>
              <w:rPr>
                <w:rFonts w:hint="eastAsia"/>
                <w:color w:val="000000"/>
                <w:sz w:val="24"/>
                <w:szCs w:val="24"/>
                <w:highlight w:val="none"/>
                <w:lang w:val="en-US" w:eastAsia="zh-CN"/>
              </w:rPr>
              <w:t>15.2</w:t>
            </w:r>
          </w:p>
        </w:tc>
        <w:tc>
          <w:tcPr>
            <w:tcW w:w="2058" w:type="dxa"/>
            <w:vAlign w:val="center"/>
          </w:tcPr>
          <w:p>
            <w:pPr>
              <w:pStyle w:val="35"/>
              <w:pageBreakBefore w:val="0"/>
              <w:kinsoku/>
              <w:topLinePunct w:val="0"/>
              <w:bidi w:val="0"/>
              <w:spacing w:line="360" w:lineRule="auto"/>
              <w:jc w:val="center"/>
              <w:rPr>
                <w:rFonts w:hint="eastAsia"/>
                <w:color w:val="000000"/>
                <w:sz w:val="24"/>
                <w:szCs w:val="24"/>
                <w:highlight w:val="none"/>
                <w:lang w:eastAsia="zh-CN"/>
              </w:rPr>
            </w:pPr>
            <w:r>
              <w:rPr>
                <w:rFonts w:hint="eastAsia"/>
                <w:color w:val="000000"/>
                <w:sz w:val="24"/>
                <w:szCs w:val="24"/>
                <w:highlight w:val="none"/>
                <w:lang w:eastAsia="zh-CN"/>
              </w:rPr>
              <w:t>装订的其他要求</w:t>
            </w:r>
          </w:p>
        </w:tc>
        <w:tc>
          <w:tcPr>
            <w:tcW w:w="6057" w:type="dxa"/>
            <w:vAlign w:val="center"/>
          </w:tcPr>
          <w:p>
            <w:pPr>
              <w:pStyle w:val="35"/>
              <w:pageBreakBefore w:val="0"/>
              <w:kinsoku/>
              <w:topLinePunct w:val="0"/>
              <w:bidi w:val="0"/>
              <w:spacing w:line="360" w:lineRule="auto"/>
              <w:rPr>
                <w:rFonts w:hint="eastAsia"/>
                <w:color w:val="000000"/>
                <w:sz w:val="24"/>
                <w:szCs w:val="24"/>
                <w:highlight w:val="none"/>
              </w:rPr>
            </w:pPr>
            <w:r>
              <w:rPr>
                <w:rFonts w:hint="eastAsia"/>
                <w:color w:val="000000"/>
                <w:sz w:val="24"/>
                <w:szCs w:val="24"/>
                <w:highlight w:val="none"/>
              </w:rPr>
              <w:t>投标文件正本与副本应分别装订成册（A4纸幅），并编制目录，且目录页开始逐页标注连续页码。投标文件不得采用活页夹装订；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790" w:type="dxa"/>
            <w:vAlign w:val="center"/>
          </w:tcPr>
          <w:p>
            <w:pPr>
              <w:pageBreakBefore w:val="0"/>
              <w:kinsoku/>
              <w:topLinePunct w:val="0"/>
              <w:bidi w:val="0"/>
              <w:spacing w:line="360" w:lineRule="auto"/>
              <w:jc w:val="center"/>
              <w:rPr>
                <w:rFonts w:hint="eastAsia"/>
                <w:color w:val="000000"/>
                <w:sz w:val="24"/>
                <w:szCs w:val="24"/>
                <w:highlight w:val="none"/>
              </w:rPr>
            </w:pPr>
            <w:r>
              <w:rPr>
                <w:rFonts w:hint="eastAsia"/>
                <w:color w:val="000000"/>
                <w:sz w:val="24"/>
                <w:szCs w:val="24"/>
                <w:highlight w:val="none"/>
              </w:rPr>
              <w:t>18.2</w:t>
            </w:r>
          </w:p>
        </w:tc>
        <w:tc>
          <w:tcPr>
            <w:tcW w:w="2058" w:type="dxa"/>
            <w:vAlign w:val="center"/>
          </w:tcPr>
          <w:p>
            <w:pPr>
              <w:pStyle w:val="35"/>
              <w:pageBreakBefore w:val="0"/>
              <w:kinsoku/>
              <w:topLinePunct w:val="0"/>
              <w:bidi w:val="0"/>
              <w:spacing w:line="360" w:lineRule="auto"/>
              <w:jc w:val="center"/>
              <w:rPr>
                <w:rFonts w:hint="eastAsia"/>
                <w:color w:val="000000"/>
                <w:sz w:val="24"/>
                <w:szCs w:val="24"/>
                <w:highlight w:val="none"/>
                <w:lang w:eastAsia="zh-CN"/>
              </w:rPr>
            </w:pPr>
            <w:r>
              <w:rPr>
                <w:rFonts w:hint="eastAsia"/>
                <w:color w:val="000000"/>
                <w:sz w:val="24"/>
                <w:szCs w:val="24"/>
                <w:highlight w:val="none"/>
              </w:rPr>
              <w:t>是否退还</w:t>
            </w:r>
          </w:p>
          <w:p>
            <w:pPr>
              <w:pStyle w:val="35"/>
              <w:pageBreakBefore w:val="0"/>
              <w:kinsoku/>
              <w:topLinePunct w:val="0"/>
              <w:bidi w:val="0"/>
              <w:spacing w:line="360" w:lineRule="auto"/>
              <w:jc w:val="center"/>
              <w:rPr>
                <w:rFonts w:hint="eastAsia"/>
                <w:color w:val="000000"/>
                <w:sz w:val="24"/>
                <w:szCs w:val="24"/>
                <w:highlight w:val="none"/>
                <w:lang w:eastAsia="zh-CN"/>
              </w:rPr>
            </w:pPr>
            <w:r>
              <w:rPr>
                <w:rFonts w:hint="eastAsia"/>
                <w:color w:val="000000"/>
                <w:sz w:val="24"/>
                <w:szCs w:val="24"/>
                <w:highlight w:val="none"/>
                <w:lang w:eastAsia="zh-CN"/>
              </w:rPr>
              <w:t>响应文件</w:t>
            </w:r>
          </w:p>
        </w:tc>
        <w:tc>
          <w:tcPr>
            <w:tcW w:w="6057" w:type="dxa"/>
            <w:vAlign w:val="center"/>
          </w:tcPr>
          <w:p>
            <w:pPr>
              <w:pStyle w:val="35"/>
              <w:pageBreakBefore w:val="0"/>
              <w:kinsoku/>
              <w:topLinePunct w:val="0"/>
              <w:bidi w:val="0"/>
              <w:spacing w:line="360" w:lineRule="auto"/>
              <w:rPr>
                <w:rFonts w:hint="eastAsia"/>
                <w:color w:val="000000"/>
                <w:sz w:val="24"/>
                <w:szCs w:val="24"/>
                <w:highlight w:val="none"/>
              </w:rPr>
            </w:pPr>
            <w:r>
              <w:rPr>
                <w:rFonts w:hint="eastAsia"/>
                <w:color w:val="000000"/>
                <w:sz w:val="24"/>
                <w:szCs w:val="24"/>
                <w:highlight w:val="none"/>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0" w:type="dxa"/>
            <w:vAlign w:val="center"/>
          </w:tcPr>
          <w:p>
            <w:pPr>
              <w:pageBreakBefore w:val="0"/>
              <w:kinsoku/>
              <w:topLinePunct w:val="0"/>
              <w:bidi w:val="0"/>
              <w:spacing w:line="360" w:lineRule="auto"/>
              <w:jc w:val="center"/>
              <w:rPr>
                <w:rFonts w:hint="eastAsia"/>
                <w:color w:val="000000"/>
                <w:sz w:val="24"/>
                <w:szCs w:val="24"/>
                <w:highlight w:val="none"/>
              </w:rPr>
            </w:pPr>
            <w:r>
              <w:rPr>
                <w:rFonts w:hint="eastAsia"/>
                <w:color w:val="000000"/>
                <w:sz w:val="24"/>
                <w:szCs w:val="24"/>
                <w:highlight w:val="none"/>
              </w:rPr>
              <w:t>20.1</w:t>
            </w:r>
          </w:p>
        </w:tc>
        <w:tc>
          <w:tcPr>
            <w:tcW w:w="2058" w:type="dxa"/>
            <w:vAlign w:val="center"/>
          </w:tcPr>
          <w:p>
            <w:pPr>
              <w:pStyle w:val="35"/>
              <w:pageBreakBefore w:val="0"/>
              <w:kinsoku/>
              <w:topLinePunct w:val="0"/>
              <w:bidi w:val="0"/>
              <w:spacing w:line="360" w:lineRule="auto"/>
              <w:jc w:val="center"/>
              <w:rPr>
                <w:rFonts w:hint="eastAsia"/>
                <w:color w:val="000000"/>
                <w:sz w:val="24"/>
                <w:szCs w:val="24"/>
                <w:highlight w:val="none"/>
                <w:lang w:eastAsia="zh-CN"/>
              </w:rPr>
            </w:pPr>
            <w:r>
              <w:rPr>
                <w:rFonts w:hint="eastAsia"/>
                <w:color w:val="000000"/>
                <w:sz w:val="24"/>
                <w:szCs w:val="24"/>
                <w:highlight w:val="none"/>
                <w:lang w:eastAsia="zh-CN"/>
              </w:rPr>
              <w:t>磋商小组</w:t>
            </w:r>
          </w:p>
          <w:p>
            <w:pPr>
              <w:pStyle w:val="35"/>
              <w:pageBreakBefore w:val="0"/>
              <w:kinsoku/>
              <w:topLinePunct w:val="0"/>
              <w:bidi w:val="0"/>
              <w:spacing w:line="360" w:lineRule="auto"/>
              <w:jc w:val="center"/>
              <w:rPr>
                <w:rFonts w:hint="eastAsia"/>
                <w:color w:val="000000"/>
                <w:sz w:val="24"/>
                <w:szCs w:val="24"/>
                <w:highlight w:val="none"/>
                <w:lang w:eastAsia="zh-CN"/>
              </w:rPr>
            </w:pPr>
            <w:r>
              <w:rPr>
                <w:rFonts w:hint="eastAsia"/>
                <w:color w:val="000000"/>
                <w:sz w:val="24"/>
                <w:szCs w:val="24"/>
                <w:highlight w:val="none"/>
                <w:lang w:eastAsia="zh-CN"/>
              </w:rPr>
              <w:t>的组成</w:t>
            </w:r>
          </w:p>
        </w:tc>
        <w:tc>
          <w:tcPr>
            <w:tcW w:w="6057" w:type="dxa"/>
            <w:vAlign w:val="center"/>
          </w:tcPr>
          <w:p>
            <w:pPr>
              <w:pStyle w:val="35"/>
              <w:pageBreakBefore w:val="0"/>
              <w:kinsoku/>
              <w:topLinePunct w:val="0"/>
              <w:bidi w:val="0"/>
              <w:spacing w:line="360" w:lineRule="auto"/>
              <w:rPr>
                <w:rFonts w:hint="eastAsia"/>
                <w:color w:val="000000"/>
                <w:sz w:val="24"/>
                <w:szCs w:val="24"/>
                <w:highlight w:val="none"/>
              </w:rPr>
            </w:pPr>
            <w:r>
              <w:rPr>
                <w:rFonts w:hint="eastAsia"/>
                <w:color w:val="000000"/>
                <w:sz w:val="24"/>
                <w:szCs w:val="24"/>
                <w:highlight w:val="none"/>
                <w:lang w:eastAsia="zh-CN"/>
              </w:rPr>
              <w:t>磋商评标小组由3人组成，磋商</w:t>
            </w:r>
            <w:r>
              <w:rPr>
                <w:rFonts w:hint="eastAsia"/>
                <w:color w:val="000000"/>
                <w:sz w:val="24"/>
                <w:szCs w:val="24"/>
                <w:highlight w:val="none"/>
              </w:rPr>
              <w:t>评审</w:t>
            </w:r>
            <w:r>
              <w:rPr>
                <w:rFonts w:hint="eastAsia"/>
                <w:color w:val="000000"/>
                <w:sz w:val="24"/>
                <w:szCs w:val="24"/>
                <w:highlight w:val="none"/>
                <w:lang w:eastAsia="zh-CN"/>
              </w:rPr>
              <w:t>小组</w:t>
            </w:r>
            <w:r>
              <w:rPr>
                <w:rFonts w:hint="eastAsia"/>
                <w:color w:val="000000"/>
                <w:sz w:val="24"/>
                <w:szCs w:val="24"/>
                <w:highlight w:val="none"/>
              </w:rPr>
              <w:t>依法从相应评标专家库中随机抽取。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790" w:type="dxa"/>
            <w:vAlign w:val="center"/>
          </w:tcPr>
          <w:p>
            <w:pPr>
              <w:pageBreakBefore w:val="0"/>
              <w:kinsoku/>
              <w:topLinePunct w:val="0"/>
              <w:bidi w:val="0"/>
              <w:spacing w:line="360" w:lineRule="auto"/>
              <w:jc w:val="center"/>
              <w:rPr>
                <w:rFonts w:hint="eastAsia"/>
                <w:color w:val="000000"/>
                <w:sz w:val="24"/>
                <w:szCs w:val="24"/>
                <w:highlight w:val="none"/>
              </w:rPr>
            </w:pPr>
            <w:r>
              <w:rPr>
                <w:rFonts w:hint="eastAsia"/>
                <w:color w:val="000000"/>
                <w:sz w:val="24"/>
                <w:szCs w:val="24"/>
                <w:highlight w:val="none"/>
              </w:rPr>
              <w:t>20.2</w:t>
            </w:r>
          </w:p>
        </w:tc>
        <w:tc>
          <w:tcPr>
            <w:tcW w:w="2058" w:type="dxa"/>
            <w:vAlign w:val="center"/>
          </w:tcPr>
          <w:p>
            <w:pPr>
              <w:pStyle w:val="35"/>
              <w:pageBreakBefore w:val="0"/>
              <w:kinsoku/>
              <w:topLinePunct w:val="0"/>
              <w:bidi w:val="0"/>
              <w:spacing w:line="360" w:lineRule="auto"/>
              <w:jc w:val="center"/>
              <w:rPr>
                <w:rFonts w:hint="eastAsia"/>
                <w:color w:val="000000"/>
                <w:sz w:val="24"/>
                <w:szCs w:val="24"/>
                <w:highlight w:val="none"/>
                <w:lang w:eastAsia="zh-CN"/>
              </w:rPr>
            </w:pPr>
            <w:r>
              <w:rPr>
                <w:rFonts w:hint="eastAsia"/>
                <w:color w:val="000000"/>
                <w:sz w:val="24"/>
                <w:szCs w:val="24"/>
                <w:highlight w:val="none"/>
              </w:rPr>
              <w:t>评</w:t>
            </w:r>
            <w:r>
              <w:rPr>
                <w:rFonts w:hint="eastAsia"/>
                <w:color w:val="000000"/>
                <w:sz w:val="24"/>
                <w:szCs w:val="24"/>
                <w:highlight w:val="none"/>
                <w:lang w:eastAsia="zh-CN"/>
              </w:rPr>
              <w:t>审</w:t>
            </w:r>
            <w:r>
              <w:rPr>
                <w:rFonts w:hint="eastAsia"/>
                <w:color w:val="000000"/>
                <w:sz w:val="24"/>
                <w:szCs w:val="24"/>
                <w:highlight w:val="none"/>
              </w:rPr>
              <w:t>方法</w:t>
            </w:r>
          </w:p>
        </w:tc>
        <w:tc>
          <w:tcPr>
            <w:tcW w:w="6057" w:type="dxa"/>
            <w:vAlign w:val="center"/>
          </w:tcPr>
          <w:p>
            <w:pPr>
              <w:pStyle w:val="37"/>
              <w:pageBreakBefore w:val="0"/>
              <w:kinsoku/>
              <w:topLinePunct w:val="0"/>
              <w:bidi w:val="0"/>
              <w:spacing w:line="360" w:lineRule="auto"/>
              <w:jc w:val="both"/>
              <w:rPr>
                <w:rFonts w:hint="eastAsia" w:ascii="Times New Roman" w:eastAsia="宋体"/>
                <w:color w:val="000000"/>
                <w:sz w:val="24"/>
                <w:szCs w:val="24"/>
                <w:highlight w:val="none"/>
              </w:rPr>
            </w:pPr>
            <w:r>
              <w:rPr>
                <w:rFonts w:hint="eastAsia" w:ascii="Times New Roman" w:eastAsia="宋体" w:cs="Times New Roman"/>
                <w:color w:val="000000"/>
                <w:sz w:val="24"/>
                <w:szCs w:val="24"/>
                <w:highlight w:val="none"/>
              </w:rPr>
              <w:t>经磋商确定最终采购需求和提交最后报价的供应商后，由磋商小组采用综合评分法对提交最后报价的供应商的响应文件和最后报价进行综合评分。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0" w:type="dxa"/>
            <w:vAlign w:val="center"/>
          </w:tcPr>
          <w:p>
            <w:pPr>
              <w:pageBreakBefore w:val="0"/>
              <w:kinsoku/>
              <w:topLinePunct w:val="0"/>
              <w:bidi w:val="0"/>
              <w:spacing w:line="360" w:lineRule="auto"/>
              <w:jc w:val="center"/>
              <w:rPr>
                <w:rFonts w:hint="eastAsia"/>
                <w:color w:val="000000"/>
                <w:sz w:val="24"/>
                <w:szCs w:val="24"/>
                <w:highlight w:val="none"/>
              </w:rPr>
            </w:pPr>
            <w:r>
              <w:rPr>
                <w:rFonts w:hint="eastAsia"/>
                <w:color w:val="000000"/>
                <w:sz w:val="24"/>
                <w:szCs w:val="24"/>
                <w:highlight w:val="none"/>
              </w:rPr>
              <w:t>25.3</w:t>
            </w:r>
          </w:p>
        </w:tc>
        <w:tc>
          <w:tcPr>
            <w:tcW w:w="2058" w:type="dxa"/>
            <w:vAlign w:val="center"/>
          </w:tcPr>
          <w:p>
            <w:pPr>
              <w:pStyle w:val="35"/>
              <w:pageBreakBefore w:val="0"/>
              <w:kinsoku/>
              <w:topLinePunct w:val="0"/>
              <w:bidi w:val="0"/>
              <w:spacing w:line="360" w:lineRule="auto"/>
              <w:jc w:val="center"/>
              <w:rPr>
                <w:rFonts w:hint="eastAsia"/>
                <w:color w:val="000000"/>
                <w:sz w:val="24"/>
                <w:szCs w:val="24"/>
                <w:highlight w:val="none"/>
              </w:rPr>
            </w:pPr>
            <w:r>
              <w:rPr>
                <w:rFonts w:hint="eastAsia"/>
                <w:color w:val="000000"/>
                <w:sz w:val="24"/>
                <w:szCs w:val="24"/>
                <w:highlight w:val="none"/>
                <w:lang w:eastAsia="zh-CN"/>
              </w:rPr>
              <w:t>成交候选人数量</w:t>
            </w:r>
          </w:p>
        </w:tc>
        <w:tc>
          <w:tcPr>
            <w:tcW w:w="6057" w:type="dxa"/>
            <w:vAlign w:val="center"/>
          </w:tcPr>
          <w:p>
            <w:pPr>
              <w:pStyle w:val="35"/>
              <w:pageBreakBefore w:val="0"/>
              <w:kinsoku/>
              <w:topLinePunct w:val="0"/>
              <w:bidi w:val="0"/>
              <w:spacing w:line="360" w:lineRule="auto"/>
              <w:rPr>
                <w:rFonts w:hint="eastAsia"/>
                <w:color w:val="000000"/>
                <w:sz w:val="24"/>
                <w:szCs w:val="24"/>
                <w:highlight w:val="none"/>
                <w:lang w:eastAsia="zh-CN"/>
              </w:rPr>
            </w:pPr>
            <w:r>
              <w:rPr>
                <w:rFonts w:hint="eastAsia"/>
                <w:color w:val="000000"/>
                <w:sz w:val="24"/>
                <w:szCs w:val="24"/>
                <w:highlight w:val="none"/>
                <w:lang w:eastAsia="zh-CN"/>
              </w:rPr>
              <w:t>推荐3名成交候选供应商。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0" w:type="dxa"/>
            <w:vAlign w:val="center"/>
          </w:tcPr>
          <w:p>
            <w:pPr>
              <w:pageBreakBefore w:val="0"/>
              <w:kinsoku/>
              <w:topLinePunct w:val="0"/>
              <w:bidi w:val="0"/>
              <w:spacing w:line="360" w:lineRule="auto"/>
              <w:jc w:val="center"/>
              <w:rPr>
                <w:rFonts w:hint="eastAsia"/>
                <w:color w:val="000000"/>
                <w:sz w:val="24"/>
                <w:szCs w:val="24"/>
                <w:highlight w:val="none"/>
              </w:rPr>
            </w:pPr>
            <w:r>
              <w:rPr>
                <w:rFonts w:hint="eastAsia"/>
                <w:color w:val="000000"/>
                <w:sz w:val="24"/>
                <w:szCs w:val="24"/>
                <w:highlight w:val="none"/>
              </w:rPr>
              <w:t>30.1</w:t>
            </w:r>
          </w:p>
        </w:tc>
        <w:tc>
          <w:tcPr>
            <w:tcW w:w="2058" w:type="dxa"/>
            <w:vAlign w:val="center"/>
          </w:tcPr>
          <w:p>
            <w:pPr>
              <w:pStyle w:val="35"/>
              <w:pageBreakBefore w:val="0"/>
              <w:kinsoku/>
              <w:topLinePunct w:val="0"/>
              <w:bidi w:val="0"/>
              <w:spacing w:line="360" w:lineRule="auto"/>
              <w:jc w:val="center"/>
              <w:rPr>
                <w:rFonts w:hint="eastAsia"/>
                <w:color w:val="000000"/>
                <w:sz w:val="24"/>
                <w:szCs w:val="24"/>
                <w:highlight w:val="none"/>
              </w:rPr>
            </w:pPr>
            <w:r>
              <w:rPr>
                <w:rFonts w:hint="eastAsia"/>
                <w:color w:val="000000"/>
                <w:sz w:val="24"/>
                <w:szCs w:val="24"/>
                <w:highlight w:val="none"/>
                <w:lang w:eastAsia="zh-CN"/>
              </w:rPr>
              <w:t>招标代理服务费</w:t>
            </w:r>
          </w:p>
        </w:tc>
        <w:tc>
          <w:tcPr>
            <w:tcW w:w="6057" w:type="dxa"/>
            <w:vAlign w:val="center"/>
          </w:tcPr>
          <w:p>
            <w:pPr>
              <w:pStyle w:val="35"/>
              <w:pageBreakBefore w:val="0"/>
              <w:kinsoku/>
              <w:topLinePunct w:val="0"/>
              <w:bidi w:val="0"/>
              <w:spacing w:line="360" w:lineRule="auto"/>
              <w:rPr>
                <w:rFonts w:hint="eastAsia"/>
                <w:color w:val="000000"/>
                <w:sz w:val="24"/>
                <w:szCs w:val="24"/>
                <w:highlight w:val="none"/>
                <w:lang w:eastAsia="zh-CN"/>
              </w:rPr>
            </w:pPr>
            <w:r>
              <w:rPr>
                <w:rFonts w:hint="eastAsia"/>
                <w:color w:val="000000"/>
                <w:sz w:val="24"/>
                <w:szCs w:val="24"/>
                <w:highlight w:val="none"/>
                <w:lang w:eastAsia="zh-CN"/>
              </w:rPr>
              <w:t>代理服务费</w:t>
            </w:r>
            <w:r>
              <w:rPr>
                <w:rFonts w:hint="eastAsia"/>
                <w:color w:val="000000"/>
                <w:sz w:val="24"/>
                <w:szCs w:val="24"/>
                <w:highlight w:val="none"/>
              </w:rPr>
              <w:t>按照本项目政府采购委托代理合同的约定</w:t>
            </w:r>
            <w:r>
              <w:rPr>
                <w:rFonts w:hint="eastAsia"/>
                <w:color w:val="000000"/>
                <w:sz w:val="24"/>
                <w:szCs w:val="24"/>
                <w:highlight w:val="none"/>
                <w:lang w:eastAsia="zh-CN"/>
              </w:rPr>
              <w:t>向</w:t>
            </w:r>
            <w:r>
              <w:rPr>
                <w:rFonts w:hint="eastAsia"/>
                <w:color w:val="000000"/>
                <w:sz w:val="24"/>
                <w:szCs w:val="24"/>
                <w:highlight w:val="none"/>
                <w:lang w:val="en-US" w:eastAsia="zh-CN"/>
              </w:rPr>
              <w:t>招标人</w:t>
            </w:r>
            <w:r>
              <w:rPr>
                <w:rFonts w:hint="eastAsia"/>
                <w:color w:val="000000"/>
                <w:sz w:val="24"/>
                <w:szCs w:val="24"/>
                <w:highlight w:val="none"/>
              </w:rPr>
              <w:t>一次性全额收取</w:t>
            </w:r>
            <w:r>
              <w:rPr>
                <w:rFonts w:hint="eastAsia"/>
                <w:color w:val="00000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05" w:type="dxa"/>
            <w:gridSpan w:val="3"/>
            <w:vAlign w:val="center"/>
          </w:tcPr>
          <w:p>
            <w:pPr>
              <w:pStyle w:val="35"/>
              <w:pageBreakBefore w:val="0"/>
              <w:kinsoku/>
              <w:topLinePunct w:val="0"/>
              <w:bidi w:val="0"/>
              <w:spacing w:line="360" w:lineRule="auto"/>
              <w:jc w:val="center"/>
              <w:rPr>
                <w:rFonts w:hint="eastAsia"/>
                <w:color w:val="000000"/>
                <w:sz w:val="24"/>
                <w:szCs w:val="24"/>
                <w:highlight w:val="none"/>
                <w:lang w:eastAsia="zh-CN"/>
              </w:rPr>
            </w:pPr>
            <w:r>
              <w:rPr>
                <w:rFonts w:hint="eastAsia"/>
                <w:color w:val="000000"/>
                <w:sz w:val="24"/>
                <w:szCs w:val="24"/>
                <w:highlight w:val="none"/>
                <w:lang w:eastAsia="zh-CN"/>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05" w:type="dxa"/>
            <w:gridSpan w:val="3"/>
            <w:vAlign w:val="center"/>
          </w:tcPr>
          <w:p>
            <w:pPr>
              <w:pStyle w:val="35"/>
              <w:pageBreakBefore w:val="0"/>
              <w:kinsoku/>
              <w:topLinePunct w:val="0"/>
              <w:bidi w:val="0"/>
              <w:spacing w:line="360" w:lineRule="auto"/>
              <w:ind w:firstLine="360" w:firstLineChars="150"/>
              <w:rPr>
                <w:rFonts w:hint="eastAsia" w:ascii="宋体" w:hAnsi="宋体"/>
                <w:bCs/>
                <w:color w:val="000000"/>
                <w:kern w:val="0"/>
                <w:sz w:val="24"/>
                <w:szCs w:val="21"/>
                <w:lang w:val="en-US" w:eastAsia="zh-CN" w:bidi="ar-SA"/>
              </w:rPr>
            </w:pPr>
            <w:r>
              <w:rPr>
                <w:rFonts w:hint="eastAsia" w:ascii="宋体" w:hAnsi="宋体"/>
                <w:color w:val="000000"/>
                <w:sz w:val="24"/>
                <w:lang w:eastAsia="zh-CN"/>
              </w:rPr>
              <w:t>单位负责人为同一人或者存在直接控股、管理关系的不同投标人，不得参加同一合同项下的政府采购活动；</w:t>
            </w:r>
            <w:r>
              <w:rPr>
                <w:rFonts w:hint="eastAsia" w:ascii="宋体" w:hAnsi="宋体"/>
                <w:b/>
                <w:color w:val="000000"/>
                <w:sz w:val="24"/>
                <w:lang w:eastAsia="zh-CN"/>
              </w:rPr>
              <w:t>投标报价由供应商自行编制的，应当由本企业的造价专业人员（注册造价工程师或具有定额与预算职称资格人员）签字并加盖执业专用章（仅由注册造价工程师提供，职称资格人员不做要求）；供应商委托他人编制投标报价的，应当委托具有相应资质的工程造价咨询单位编制并在投标文件中附有委托合同，同时应由被委托人的注册造价工程师签字并加盖执业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05" w:type="dxa"/>
            <w:gridSpan w:val="3"/>
            <w:vAlign w:val="center"/>
          </w:tcPr>
          <w:p>
            <w:pPr>
              <w:pageBreakBefore w:val="0"/>
              <w:kinsoku/>
              <w:topLinePunct w:val="0"/>
              <w:autoSpaceDE w:val="0"/>
              <w:autoSpaceDN w:val="0"/>
              <w:bidi w:val="0"/>
              <w:adjustRightInd w:val="0"/>
              <w:spacing w:line="360" w:lineRule="auto"/>
              <w:ind w:firstLine="240" w:firstLineChars="100"/>
              <w:jc w:val="left"/>
              <w:rPr>
                <w:rFonts w:ascii="宋体" w:hAnsi="宋体" w:eastAsia="PMingLiU" w:cs="宋体"/>
                <w:bCs/>
                <w:color w:val="000000"/>
                <w:kern w:val="0"/>
                <w:sz w:val="24"/>
                <w:lang w:eastAsia="zh-TW"/>
              </w:rPr>
            </w:pPr>
            <w:r>
              <w:rPr>
                <w:rFonts w:hint="eastAsia" w:ascii="宋体" w:hAnsi="宋体" w:cs="宋体"/>
                <w:bCs/>
                <w:color w:val="000000"/>
                <w:kern w:val="0"/>
                <w:sz w:val="24"/>
                <w:lang w:eastAsia="zh-TW"/>
              </w:rPr>
              <w:t xml:space="preserve"> 1、为防止恶意竞争导致用户权益无法保障，评标委员会认为投标人的报价明显低于其他通过符合性审查投标人的报价，有可能影响工程质量或者不能诚信履约的，应当要求其在评标现场合理的时间内提供书面说明，必要时提交相关证明材料；投标人不能证明其报价合理性的，评标委员会应当将其作为无效投标处理。如中标人的报价过低，明显不符合市场价格，则采购人有权要求中标人提供预算金额的</w:t>
            </w:r>
            <w:r>
              <w:rPr>
                <w:rFonts w:hint="eastAsia" w:ascii="宋体" w:hAnsi="宋体" w:cs="宋体"/>
                <w:bCs/>
                <w:color w:val="000000"/>
                <w:kern w:val="0"/>
                <w:sz w:val="24"/>
                <w:lang w:val="en-US" w:eastAsia="zh-CN"/>
              </w:rPr>
              <w:t>5</w:t>
            </w:r>
            <w:r>
              <w:rPr>
                <w:rFonts w:hint="eastAsia" w:ascii="宋体" w:hAnsi="宋体" w:cs="宋体"/>
                <w:bCs/>
                <w:color w:val="000000"/>
                <w:kern w:val="0"/>
                <w:sz w:val="24"/>
                <w:lang w:eastAsia="zh-TW"/>
              </w:rPr>
              <w:t>%作为履约保证金，同时预付款比例调整为0%。如中标人在实施过程中偷工减料、不按工期完成项目，则采购人有权终止合同，没收履约保证金，并报主管部门严肃处理。</w:t>
            </w:r>
          </w:p>
          <w:p>
            <w:pPr>
              <w:pageBreakBefore w:val="0"/>
              <w:kinsoku/>
              <w:topLinePunct w:val="0"/>
              <w:bidi w:val="0"/>
              <w:spacing w:line="360" w:lineRule="auto"/>
              <w:jc w:val="left"/>
              <w:rPr>
                <w:rFonts w:ascii="宋体" w:hAnsi="宋体" w:cs="宋体"/>
                <w:bCs/>
                <w:color w:val="000000"/>
                <w:kern w:val="0"/>
                <w:sz w:val="24"/>
                <w:lang w:eastAsia="zh-TW"/>
              </w:rPr>
            </w:pPr>
            <w:r>
              <w:rPr>
                <w:rFonts w:hint="eastAsia" w:ascii="宋体" w:hAnsi="宋体" w:cs="宋体"/>
                <w:bCs/>
                <w:color w:val="000000"/>
                <w:kern w:val="0"/>
                <w:sz w:val="24"/>
                <w:lang w:eastAsia="zh-TW"/>
              </w:rPr>
              <w:t xml:space="preserve">   2、招标人保留核实投标人是否被责令停业、财产被接管、冻结、破产的权力，若投标人在投标有效期内处于以上情形的，招标人将有权取消其中标资格。</w:t>
            </w:r>
          </w:p>
          <w:p>
            <w:pPr>
              <w:pageBreakBefore w:val="0"/>
              <w:kinsoku/>
              <w:topLinePunct w:val="0"/>
              <w:bidi w:val="0"/>
              <w:spacing w:line="360" w:lineRule="auto"/>
              <w:jc w:val="left"/>
              <w:rPr>
                <w:rFonts w:hint="eastAsia" w:ascii="宋体" w:hAnsi="宋体" w:cs="宋体"/>
                <w:bCs/>
                <w:color w:val="000000"/>
                <w:kern w:val="0"/>
                <w:sz w:val="24"/>
                <w:szCs w:val="24"/>
                <w:lang w:val="en-US" w:eastAsia="zh-CN" w:bidi="ar-SA"/>
              </w:rPr>
            </w:pPr>
            <w:r>
              <w:rPr>
                <w:rFonts w:hint="eastAsia" w:ascii="宋体" w:hAnsi="宋体" w:cs="宋体"/>
                <w:bCs/>
                <w:color w:val="000000"/>
                <w:kern w:val="0"/>
                <w:sz w:val="24"/>
                <w:lang w:eastAsia="zh-TW"/>
              </w:rPr>
              <w:t xml:space="preserve">   3、签订合同前或执行合同中，投标人为失信被执行人的，招标人依法取消其中标资格或中止合同。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05" w:type="dxa"/>
            <w:gridSpan w:val="3"/>
            <w:vAlign w:val="center"/>
          </w:tcPr>
          <w:p>
            <w:pPr>
              <w:pageBreakBefore w:val="0"/>
              <w:kinsoku/>
              <w:topLinePunct w:val="0"/>
              <w:autoSpaceDE w:val="0"/>
              <w:autoSpaceDN w:val="0"/>
              <w:bidi w:val="0"/>
              <w:adjustRightInd w:val="0"/>
              <w:spacing w:line="360" w:lineRule="auto"/>
              <w:jc w:val="left"/>
              <w:rPr>
                <w:rFonts w:ascii="宋体" w:hAnsi="宋体"/>
                <w:bCs/>
                <w:color w:val="000000"/>
                <w:kern w:val="0"/>
                <w:sz w:val="24"/>
                <w:szCs w:val="21"/>
              </w:rPr>
            </w:pPr>
            <w:r>
              <w:rPr>
                <w:rFonts w:hint="eastAsia" w:ascii="宋体" w:hAnsi="宋体"/>
                <w:bCs/>
                <w:color w:val="000000"/>
                <w:kern w:val="0"/>
                <w:sz w:val="24"/>
                <w:szCs w:val="21"/>
              </w:rPr>
              <w:t xml:space="preserve">   1、小型和微型企业：小型和微型企业须提供注册地县级及以上中小企业管理部门出具的小型和微型企业证明文件和《中小企业声明函》。小型和微型企业不能提供证明文件的，按照《关于印发中小企业划型标准规定的通知》（工信部联企业[2011]300 号），可提供企业从业人员、营业收入、资产总额等证明材料和《中小企业声明函》，否则将不进行价格扣除。</w:t>
            </w:r>
          </w:p>
          <w:p>
            <w:pPr>
              <w:pageBreakBefore w:val="0"/>
              <w:kinsoku/>
              <w:topLinePunct w:val="0"/>
              <w:autoSpaceDE w:val="0"/>
              <w:autoSpaceDN w:val="0"/>
              <w:bidi w:val="0"/>
              <w:adjustRightInd w:val="0"/>
              <w:spacing w:line="360" w:lineRule="auto"/>
              <w:jc w:val="left"/>
              <w:rPr>
                <w:rFonts w:ascii="宋体" w:hAnsi="宋体"/>
                <w:bCs/>
                <w:color w:val="000000"/>
                <w:kern w:val="0"/>
                <w:sz w:val="24"/>
                <w:szCs w:val="21"/>
              </w:rPr>
            </w:pPr>
            <w:r>
              <w:rPr>
                <w:rFonts w:hint="eastAsia" w:ascii="宋体" w:hAnsi="宋体"/>
                <w:bCs/>
                <w:color w:val="000000"/>
                <w:kern w:val="0"/>
                <w:sz w:val="24"/>
                <w:szCs w:val="21"/>
              </w:rPr>
              <w:t xml:space="preserve">   2 、监狱企业：根据《财政部 司法部关于政府采购支持监狱企业发展有关问题的通知》（财库[2014]68号）文件规定，监狱企业参加政府采购活动时，应当提供由省级以上监狱管理局、戒毒管理局（含新疆生产建设兵团）出具的属于监狱企业的证明文件。监狱企业视同小型、微型企业，享受预留份额、评审中价格扣除等政府采购促进中小企业发展的政府采购政策。</w:t>
            </w:r>
          </w:p>
          <w:p>
            <w:pPr>
              <w:pageBreakBefore w:val="0"/>
              <w:kinsoku/>
              <w:topLinePunct w:val="0"/>
              <w:autoSpaceDE w:val="0"/>
              <w:autoSpaceDN w:val="0"/>
              <w:bidi w:val="0"/>
              <w:adjustRightInd w:val="0"/>
              <w:spacing w:line="360" w:lineRule="auto"/>
              <w:jc w:val="left"/>
              <w:rPr>
                <w:rFonts w:hint="eastAsia" w:ascii="宋体" w:hAnsi="宋体"/>
                <w:bCs/>
                <w:color w:val="000000"/>
                <w:kern w:val="0"/>
                <w:sz w:val="24"/>
                <w:szCs w:val="21"/>
                <w:lang w:val="en-US" w:eastAsia="zh-CN" w:bidi="ar-SA"/>
              </w:rPr>
            </w:pPr>
            <w:r>
              <w:rPr>
                <w:rFonts w:hint="eastAsia" w:ascii="宋体" w:hAnsi="宋体"/>
                <w:bCs/>
                <w:color w:val="000000"/>
                <w:kern w:val="0"/>
                <w:sz w:val="24"/>
                <w:szCs w:val="21"/>
              </w:rPr>
              <w:t xml:space="preserve">   3、 残疾人福利性单位：根据《财政部民政部中国残疾人联合会关于促进残疾人就业政府采购政策的通知》（财库〔2017〕141号）的规定，符合条件的残疾人福利性单位在参加政府采购活动时，须提供《残疾人福利性单位声明函》。残疾人福利性单位视同小型、微型企业，享受预留份额、评审中价格扣除等促进中小企业发展的政府采购政策。残疾人福利性单位属于小型、微型企业的，不重复享受政策。</w:t>
            </w:r>
          </w:p>
        </w:tc>
      </w:tr>
    </w:tbl>
    <w:p>
      <w:pPr>
        <w:pageBreakBefore w:val="0"/>
        <w:numPr>
          <w:ilvl w:val="0"/>
          <w:numId w:val="3"/>
        </w:numPr>
        <w:tabs>
          <w:tab w:val="left" w:pos="540"/>
          <w:tab w:val="left" w:pos="720"/>
          <w:tab w:val="clear" w:pos="960"/>
        </w:tabs>
        <w:kinsoku/>
        <w:topLinePunct w:val="0"/>
        <w:bidi w:val="0"/>
        <w:spacing w:before="100" w:beforeAutospacing="1" w:after="100" w:afterAutospacing="1" w:line="360" w:lineRule="auto"/>
        <w:ind w:left="720" w:hanging="720"/>
        <w:outlineLvl w:val="9"/>
        <w:rPr>
          <w:rFonts w:hint="eastAsia"/>
          <w:b/>
          <w:color w:val="000000"/>
          <w:sz w:val="32"/>
          <w:szCs w:val="32"/>
          <w:highlight w:val="none"/>
        </w:rPr>
      </w:pPr>
      <w:bookmarkStart w:id="4" w:name="_Toc28986"/>
      <w:bookmarkStart w:id="5" w:name="_Toc317237774"/>
      <w:bookmarkStart w:id="6" w:name="_Toc317237599"/>
      <w:r>
        <w:rPr>
          <w:rFonts w:hint="eastAsia"/>
          <w:b/>
          <w:color w:val="000000"/>
          <w:sz w:val="32"/>
          <w:szCs w:val="32"/>
          <w:highlight w:val="none"/>
        </w:rPr>
        <w:br w:type="page"/>
      </w:r>
      <w:r>
        <w:rPr>
          <w:rFonts w:hint="eastAsia"/>
          <w:b/>
          <w:color w:val="000000"/>
          <w:sz w:val="32"/>
          <w:szCs w:val="32"/>
          <w:highlight w:val="none"/>
        </w:rPr>
        <w:t>说明和释义</w:t>
      </w:r>
      <w:bookmarkEnd w:id="4"/>
      <w:bookmarkEnd w:id="5"/>
      <w:bookmarkEnd w:id="6"/>
    </w:p>
    <w:p>
      <w:pPr>
        <w:pageBreakBefore w:val="0"/>
        <w:numPr>
          <w:ilvl w:val="0"/>
          <w:numId w:val="1"/>
        </w:numPr>
        <w:kinsoku/>
        <w:topLinePunct w:val="0"/>
        <w:bidi w:val="0"/>
        <w:spacing w:line="360" w:lineRule="auto"/>
        <w:rPr>
          <w:rFonts w:hint="eastAsia"/>
          <w:b/>
          <w:color w:val="000000"/>
          <w:sz w:val="30"/>
          <w:szCs w:val="30"/>
          <w:highlight w:val="none"/>
        </w:rPr>
      </w:pPr>
      <w:r>
        <w:rPr>
          <w:rFonts w:hint="eastAsia"/>
          <w:b/>
          <w:color w:val="000000"/>
          <w:sz w:val="30"/>
          <w:szCs w:val="30"/>
          <w:highlight w:val="none"/>
        </w:rPr>
        <w:t>适用范围</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1.1</w:t>
      </w:r>
      <w:r>
        <w:rPr>
          <w:rFonts w:hint="eastAsia" w:ascii="Times New Roman" w:hAnsi="Times New Roman"/>
          <w:color w:val="000000"/>
          <w:sz w:val="24"/>
          <w:szCs w:val="24"/>
          <w:highlight w:val="none"/>
        </w:rPr>
        <w:t>本磋商文件仅适用于本采购活动。</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1.2</w:t>
      </w:r>
      <w:r>
        <w:rPr>
          <w:rFonts w:hint="eastAsia" w:ascii="Times New Roman" w:hAnsi="Times New Roman"/>
          <w:color w:val="000000"/>
          <w:sz w:val="24"/>
          <w:szCs w:val="24"/>
          <w:highlight w:val="none"/>
        </w:rPr>
        <w:t>本采购活动及结果受中国法律的制约和保护。</w:t>
      </w:r>
    </w:p>
    <w:p>
      <w:pPr>
        <w:pageBreakBefore w:val="0"/>
        <w:numPr>
          <w:ilvl w:val="0"/>
          <w:numId w:val="1"/>
        </w:numPr>
        <w:kinsoku/>
        <w:topLinePunct w:val="0"/>
        <w:bidi w:val="0"/>
        <w:spacing w:line="360" w:lineRule="auto"/>
        <w:rPr>
          <w:rFonts w:hint="eastAsia"/>
          <w:b/>
          <w:color w:val="000000"/>
          <w:sz w:val="30"/>
          <w:szCs w:val="30"/>
          <w:highlight w:val="none"/>
        </w:rPr>
      </w:pPr>
      <w:r>
        <w:rPr>
          <w:rFonts w:hint="eastAsia"/>
          <w:b/>
          <w:color w:val="000000"/>
          <w:sz w:val="30"/>
          <w:szCs w:val="30"/>
          <w:highlight w:val="none"/>
        </w:rPr>
        <w:t>采购说明</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2.1</w:t>
      </w:r>
      <w:r>
        <w:rPr>
          <w:rFonts w:hint="eastAsia" w:ascii="Times New Roman" w:hAnsi="Times New Roman"/>
          <w:color w:val="000000"/>
          <w:sz w:val="24"/>
          <w:szCs w:val="24"/>
          <w:highlight w:val="none"/>
        </w:rPr>
        <w:t>项目名称：见供应商须知前附表。</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2.2</w:t>
      </w:r>
      <w:r>
        <w:rPr>
          <w:rFonts w:hint="eastAsia" w:ascii="Times New Roman" w:hAnsi="Times New Roman"/>
          <w:color w:val="000000"/>
          <w:sz w:val="24"/>
          <w:szCs w:val="24"/>
          <w:highlight w:val="none"/>
        </w:rPr>
        <w:t>项目编号：见供应商须知前附表。</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2.3</w:t>
      </w:r>
      <w:r>
        <w:rPr>
          <w:rFonts w:hint="eastAsia" w:ascii="Times New Roman" w:hAnsi="Times New Roman"/>
          <w:color w:val="000000"/>
          <w:sz w:val="24"/>
          <w:szCs w:val="24"/>
          <w:highlight w:val="none"/>
        </w:rPr>
        <w:t>采购人：见供应商须知前附表。</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2.4</w:t>
      </w:r>
      <w:r>
        <w:rPr>
          <w:rFonts w:hint="eastAsia" w:ascii="Times New Roman" w:hAnsi="Times New Roman"/>
          <w:color w:val="000000"/>
          <w:sz w:val="24"/>
          <w:szCs w:val="24"/>
          <w:highlight w:val="none"/>
        </w:rPr>
        <w:t>采购代理机构：见供应商须知前附表。</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2.5</w:t>
      </w:r>
      <w:r>
        <w:rPr>
          <w:rFonts w:hint="eastAsia" w:ascii="Times New Roman" w:hAnsi="Times New Roman"/>
          <w:color w:val="000000"/>
          <w:sz w:val="24"/>
          <w:szCs w:val="24"/>
          <w:highlight w:val="none"/>
        </w:rPr>
        <w:t>采购预算：见供应商须知前附表。</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2.6</w:t>
      </w:r>
      <w:r>
        <w:rPr>
          <w:rFonts w:hint="eastAsia" w:ascii="Times New Roman" w:hAnsi="Times New Roman"/>
          <w:color w:val="000000"/>
          <w:sz w:val="24"/>
          <w:szCs w:val="24"/>
          <w:highlight w:val="none"/>
        </w:rPr>
        <w:t>投资模式：见供应商须知前附表。</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2.7</w:t>
      </w:r>
      <w:r>
        <w:rPr>
          <w:rFonts w:hint="eastAsia" w:ascii="Times New Roman" w:hAnsi="Times New Roman"/>
          <w:color w:val="000000"/>
          <w:sz w:val="24"/>
          <w:szCs w:val="24"/>
          <w:highlight w:val="none"/>
        </w:rPr>
        <w:t>供应商资格要求：见供应商须知前附表。</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2.8</w:t>
      </w:r>
      <w:r>
        <w:rPr>
          <w:rFonts w:hint="eastAsia" w:ascii="Times New Roman" w:hAnsi="Times New Roman"/>
          <w:color w:val="000000"/>
          <w:sz w:val="24"/>
          <w:szCs w:val="24"/>
          <w:highlight w:val="none"/>
        </w:rPr>
        <w:t>服务期限：见供应商须知前附表。</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default" w:ascii="Times New Roman" w:hAnsi="Times New Roman"/>
          <w:color w:val="000000"/>
          <w:sz w:val="24"/>
          <w:szCs w:val="24"/>
          <w:highlight w:val="none"/>
          <w:lang w:val="en-US" w:eastAsia="zh-CN"/>
        </w:rPr>
      </w:pPr>
      <w:r>
        <w:rPr>
          <w:rFonts w:hint="eastAsia" w:ascii="Times New Roman" w:hAnsi="Times New Roman"/>
          <w:color w:val="000000"/>
          <w:sz w:val="24"/>
          <w:szCs w:val="24"/>
          <w:highlight w:val="none"/>
          <w:lang w:val="en-US" w:eastAsia="zh-CN"/>
        </w:rPr>
        <w:t>2.9质量要求：</w:t>
      </w:r>
      <w:r>
        <w:rPr>
          <w:rFonts w:hint="eastAsia" w:ascii="Times New Roman" w:hAnsi="Times New Roman"/>
          <w:color w:val="000000"/>
          <w:sz w:val="24"/>
          <w:szCs w:val="24"/>
          <w:highlight w:val="none"/>
        </w:rPr>
        <w:t>见供应商须知前附表。</w:t>
      </w:r>
    </w:p>
    <w:p>
      <w:pPr>
        <w:pageBreakBefore w:val="0"/>
        <w:numPr>
          <w:ilvl w:val="0"/>
          <w:numId w:val="1"/>
        </w:numPr>
        <w:kinsoku/>
        <w:topLinePunct w:val="0"/>
        <w:bidi w:val="0"/>
        <w:spacing w:line="360" w:lineRule="auto"/>
        <w:rPr>
          <w:rFonts w:hint="eastAsia"/>
          <w:b/>
          <w:color w:val="000000"/>
          <w:sz w:val="30"/>
          <w:szCs w:val="30"/>
          <w:highlight w:val="none"/>
        </w:rPr>
      </w:pPr>
      <w:r>
        <w:rPr>
          <w:rFonts w:hint="eastAsia"/>
          <w:b/>
          <w:color w:val="000000"/>
          <w:sz w:val="30"/>
          <w:szCs w:val="30"/>
          <w:highlight w:val="none"/>
        </w:rPr>
        <w:t>磋商授权委托</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3.1</w:t>
      </w:r>
      <w:r>
        <w:rPr>
          <w:rFonts w:hint="eastAsia" w:ascii="Times New Roman" w:hAnsi="Times New Roman"/>
          <w:color w:val="000000"/>
          <w:sz w:val="24"/>
          <w:szCs w:val="24"/>
          <w:highlight w:val="none"/>
        </w:rPr>
        <w:t>供应商的法定代表人可以委托代表人处理磋商事务。</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3.2</w:t>
      </w:r>
      <w:r>
        <w:rPr>
          <w:rFonts w:hint="eastAsia" w:ascii="Times New Roman" w:hAnsi="Times New Roman"/>
          <w:color w:val="000000"/>
          <w:sz w:val="24"/>
          <w:szCs w:val="24"/>
          <w:highlight w:val="none"/>
        </w:rPr>
        <w:t>委托代表人的资格条件：见供应商须知前附表。</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3.3</w:t>
      </w:r>
      <w:r>
        <w:rPr>
          <w:rFonts w:hint="eastAsia" w:ascii="Times New Roman" w:hAnsi="Times New Roman"/>
          <w:color w:val="000000"/>
          <w:sz w:val="24"/>
          <w:szCs w:val="24"/>
          <w:highlight w:val="none"/>
        </w:rPr>
        <w:t>委托代表人的代理权限：见供应商须知前附表。</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3.4</w:t>
      </w:r>
      <w:r>
        <w:rPr>
          <w:rFonts w:hint="eastAsia" w:ascii="Times New Roman" w:hAnsi="Times New Roman"/>
          <w:color w:val="000000"/>
          <w:sz w:val="24"/>
          <w:szCs w:val="24"/>
          <w:highlight w:val="none"/>
        </w:rPr>
        <w:t>委托代表人须持有法定代表人出具的符合格式要求的《授权委托书》（格式见附件）。</w:t>
      </w:r>
    </w:p>
    <w:p>
      <w:pPr>
        <w:pageBreakBefore w:val="0"/>
        <w:numPr>
          <w:ilvl w:val="0"/>
          <w:numId w:val="1"/>
        </w:numPr>
        <w:kinsoku/>
        <w:topLinePunct w:val="0"/>
        <w:bidi w:val="0"/>
        <w:spacing w:line="360" w:lineRule="auto"/>
        <w:rPr>
          <w:rFonts w:hint="eastAsia"/>
          <w:b/>
          <w:color w:val="000000"/>
          <w:sz w:val="24"/>
          <w:szCs w:val="24"/>
          <w:highlight w:val="none"/>
        </w:rPr>
      </w:pPr>
      <w:r>
        <w:rPr>
          <w:rFonts w:hint="eastAsia"/>
          <w:b/>
          <w:color w:val="000000"/>
          <w:sz w:val="24"/>
          <w:szCs w:val="24"/>
          <w:highlight w:val="none"/>
        </w:rPr>
        <w:t>磋商费用</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4.1</w:t>
      </w:r>
      <w:r>
        <w:rPr>
          <w:rFonts w:hint="eastAsia" w:ascii="Times New Roman" w:hAnsi="Times New Roman"/>
          <w:color w:val="000000"/>
          <w:sz w:val="24"/>
          <w:szCs w:val="24"/>
          <w:highlight w:val="none"/>
        </w:rPr>
        <w:t>供应商自行承担参加磋商的全部费用。</w:t>
      </w:r>
    </w:p>
    <w:p>
      <w:pPr>
        <w:pageBreakBefore w:val="0"/>
        <w:numPr>
          <w:ilvl w:val="0"/>
          <w:numId w:val="3"/>
        </w:numPr>
        <w:tabs>
          <w:tab w:val="left" w:pos="540"/>
          <w:tab w:val="left" w:pos="720"/>
          <w:tab w:val="clear" w:pos="960"/>
        </w:tabs>
        <w:kinsoku/>
        <w:topLinePunct w:val="0"/>
        <w:bidi w:val="0"/>
        <w:spacing w:before="100" w:beforeAutospacing="1" w:after="100" w:afterAutospacing="1" w:line="360" w:lineRule="auto"/>
        <w:ind w:left="720" w:hanging="720"/>
        <w:outlineLvl w:val="9"/>
        <w:rPr>
          <w:rFonts w:hint="eastAsia"/>
          <w:b/>
          <w:color w:val="000000"/>
          <w:sz w:val="32"/>
          <w:szCs w:val="32"/>
          <w:highlight w:val="none"/>
        </w:rPr>
      </w:pPr>
      <w:bookmarkStart w:id="7" w:name="_Toc16017"/>
      <w:r>
        <w:rPr>
          <w:rFonts w:hint="eastAsia"/>
          <w:b/>
          <w:color w:val="000000"/>
          <w:sz w:val="32"/>
          <w:szCs w:val="32"/>
          <w:highlight w:val="none"/>
        </w:rPr>
        <w:t>磋商文件</w:t>
      </w:r>
      <w:bookmarkEnd w:id="7"/>
    </w:p>
    <w:p>
      <w:pPr>
        <w:pageBreakBefore w:val="0"/>
        <w:numPr>
          <w:ilvl w:val="0"/>
          <w:numId w:val="1"/>
        </w:numPr>
        <w:kinsoku/>
        <w:topLinePunct w:val="0"/>
        <w:bidi w:val="0"/>
        <w:spacing w:line="360" w:lineRule="auto"/>
        <w:rPr>
          <w:rFonts w:hint="eastAsia"/>
          <w:b/>
          <w:color w:val="000000"/>
          <w:sz w:val="30"/>
          <w:szCs w:val="30"/>
          <w:highlight w:val="none"/>
        </w:rPr>
      </w:pPr>
      <w:r>
        <w:rPr>
          <w:rFonts w:hint="eastAsia"/>
          <w:b/>
          <w:color w:val="000000"/>
          <w:sz w:val="30"/>
          <w:szCs w:val="30"/>
          <w:highlight w:val="none"/>
        </w:rPr>
        <w:t>磋商文件的构成</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5.1</w:t>
      </w:r>
      <w:r>
        <w:rPr>
          <w:rFonts w:hint="eastAsia" w:ascii="Times New Roman" w:hAnsi="Times New Roman"/>
          <w:color w:val="000000"/>
          <w:sz w:val="24"/>
          <w:szCs w:val="24"/>
          <w:highlight w:val="none"/>
        </w:rPr>
        <w:t>磋商文件包括以下内容：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000000"/>
          <w:sz w:val="24"/>
          <w:szCs w:val="24"/>
          <w:highlight w:val="none"/>
        </w:rPr>
      </w:pPr>
      <w:r>
        <w:rPr>
          <w:rFonts w:hint="eastAsia"/>
          <w:color w:val="000000"/>
          <w:sz w:val="24"/>
          <w:szCs w:val="24"/>
          <w:highlight w:val="none"/>
        </w:rPr>
        <w:t>（一）采购邀请；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000000"/>
          <w:sz w:val="24"/>
          <w:szCs w:val="24"/>
          <w:highlight w:val="none"/>
        </w:rPr>
      </w:pPr>
      <w:r>
        <w:rPr>
          <w:rFonts w:hint="eastAsia"/>
          <w:color w:val="000000"/>
          <w:sz w:val="24"/>
          <w:szCs w:val="24"/>
          <w:highlight w:val="none"/>
        </w:rPr>
        <w:t>（二）供应商须知；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000000"/>
          <w:sz w:val="24"/>
          <w:szCs w:val="24"/>
          <w:highlight w:val="none"/>
        </w:rPr>
      </w:pPr>
      <w:r>
        <w:rPr>
          <w:rFonts w:hint="eastAsia"/>
          <w:color w:val="000000"/>
          <w:sz w:val="24"/>
          <w:szCs w:val="24"/>
          <w:highlight w:val="none"/>
        </w:rPr>
        <w:t>（三）采购需求；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000000"/>
          <w:sz w:val="24"/>
          <w:szCs w:val="24"/>
          <w:highlight w:val="none"/>
        </w:rPr>
      </w:pPr>
      <w:r>
        <w:rPr>
          <w:rFonts w:hint="eastAsia"/>
          <w:color w:val="000000"/>
          <w:sz w:val="24"/>
          <w:szCs w:val="24"/>
          <w:highlight w:val="none"/>
        </w:rPr>
        <w:t>（四）采购合同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000000"/>
          <w:sz w:val="24"/>
          <w:szCs w:val="24"/>
          <w:highlight w:val="none"/>
        </w:rPr>
      </w:pPr>
      <w:r>
        <w:rPr>
          <w:rFonts w:hint="eastAsia"/>
          <w:color w:val="000000"/>
          <w:sz w:val="24"/>
          <w:szCs w:val="24"/>
          <w:highlight w:val="none"/>
        </w:rPr>
        <w:t>（五）评审程序、方法和标准；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000000"/>
          <w:sz w:val="24"/>
          <w:szCs w:val="24"/>
          <w:highlight w:val="none"/>
        </w:rPr>
      </w:pPr>
      <w:r>
        <w:rPr>
          <w:rFonts w:hint="eastAsia"/>
          <w:color w:val="000000"/>
          <w:sz w:val="24"/>
          <w:szCs w:val="24"/>
          <w:highlight w:val="none"/>
        </w:rPr>
        <w:t>（六）响应文件格式。</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5.2</w:t>
      </w:r>
      <w:r>
        <w:rPr>
          <w:rFonts w:hint="eastAsia" w:ascii="Times New Roman" w:hAnsi="Times New Roman"/>
          <w:color w:val="000000"/>
          <w:sz w:val="24"/>
          <w:szCs w:val="24"/>
          <w:highlight w:val="none"/>
        </w:rPr>
        <w:t>供应商应当仔细阅读和正确理解磋商文件中陈述的所有事项，遵循格式文件的规定和签署要求。</w:t>
      </w:r>
    </w:p>
    <w:p>
      <w:pPr>
        <w:pageBreakBefore w:val="0"/>
        <w:numPr>
          <w:ilvl w:val="0"/>
          <w:numId w:val="1"/>
        </w:numPr>
        <w:kinsoku/>
        <w:topLinePunct w:val="0"/>
        <w:bidi w:val="0"/>
        <w:spacing w:line="360" w:lineRule="auto"/>
        <w:rPr>
          <w:rFonts w:hint="eastAsia"/>
          <w:b/>
          <w:color w:val="000000"/>
          <w:sz w:val="30"/>
          <w:szCs w:val="30"/>
          <w:highlight w:val="none"/>
        </w:rPr>
      </w:pPr>
      <w:r>
        <w:rPr>
          <w:rFonts w:hint="eastAsia"/>
          <w:b/>
          <w:color w:val="000000"/>
          <w:sz w:val="30"/>
          <w:szCs w:val="30"/>
          <w:highlight w:val="none"/>
        </w:rPr>
        <w:t>磋商文件的澄清和修改</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6.1</w:t>
      </w:r>
      <w:r>
        <w:rPr>
          <w:rFonts w:hint="eastAsia" w:ascii="Times New Roman" w:hAnsi="Times New Roman"/>
          <w:color w:val="000000"/>
          <w:sz w:val="24"/>
          <w:szCs w:val="24"/>
          <w:highlight w:val="none"/>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6.2</w:t>
      </w:r>
      <w:r>
        <w:rPr>
          <w:rFonts w:hint="eastAsia" w:ascii="Times New Roman" w:hAnsi="Times New Roman"/>
          <w:color w:val="000000"/>
          <w:sz w:val="24"/>
          <w:szCs w:val="24"/>
          <w:highlight w:val="none"/>
        </w:rPr>
        <w:t>澄清或者修改是磋商文件的组成部分。澄清或者修改以公告的方式发布。</w:t>
      </w:r>
    </w:p>
    <w:p>
      <w:pPr>
        <w:pageBreakBefore w:val="0"/>
        <w:numPr>
          <w:ilvl w:val="0"/>
          <w:numId w:val="1"/>
        </w:numPr>
        <w:kinsoku/>
        <w:topLinePunct w:val="0"/>
        <w:bidi w:val="0"/>
        <w:spacing w:line="360" w:lineRule="auto"/>
        <w:rPr>
          <w:rFonts w:hint="eastAsia"/>
          <w:b/>
          <w:color w:val="000000"/>
          <w:sz w:val="30"/>
          <w:szCs w:val="30"/>
          <w:highlight w:val="none"/>
        </w:rPr>
      </w:pPr>
      <w:r>
        <w:rPr>
          <w:rFonts w:hint="eastAsia"/>
          <w:b/>
          <w:color w:val="000000"/>
          <w:sz w:val="30"/>
          <w:szCs w:val="30"/>
          <w:highlight w:val="none"/>
        </w:rPr>
        <w:t>现场考察和答疑会</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7.1</w:t>
      </w:r>
      <w:r>
        <w:rPr>
          <w:rFonts w:hint="eastAsia" w:ascii="Times New Roman" w:hAnsi="Times New Roman"/>
          <w:color w:val="000000"/>
          <w:sz w:val="24"/>
          <w:szCs w:val="24"/>
          <w:highlight w:val="none"/>
        </w:rPr>
        <w:t>现场考察和答疑会：见供应商须知前附表。</w:t>
      </w:r>
    </w:p>
    <w:p>
      <w:pPr>
        <w:pageBreakBefore w:val="0"/>
        <w:numPr>
          <w:ilvl w:val="0"/>
          <w:numId w:val="3"/>
        </w:numPr>
        <w:tabs>
          <w:tab w:val="left" w:pos="540"/>
          <w:tab w:val="left" w:pos="720"/>
          <w:tab w:val="clear" w:pos="960"/>
        </w:tabs>
        <w:kinsoku/>
        <w:topLinePunct w:val="0"/>
        <w:bidi w:val="0"/>
        <w:spacing w:before="100" w:beforeAutospacing="1" w:after="100" w:afterAutospacing="1" w:line="360" w:lineRule="auto"/>
        <w:ind w:left="720" w:hanging="720"/>
        <w:outlineLvl w:val="9"/>
        <w:rPr>
          <w:rFonts w:hint="eastAsia"/>
          <w:b/>
          <w:color w:val="000000"/>
          <w:sz w:val="32"/>
          <w:szCs w:val="32"/>
          <w:highlight w:val="none"/>
        </w:rPr>
      </w:pPr>
      <w:bookmarkStart w:id="8" w:name="_Toc31379"/>
      <w:r>
        <w:rPr>
          <w:rFonts w:hint="eastAsia"/>
          <w:b/>
          <w:color w:val="000000"/>
          <w:sz w:val="32"/>
          <w:szCs w:val="32"/>
          <w:highlight w:val="none"/>
        </w:rPr>
        <w:t>响应文件</w:t>
      </w:r>
      <w:bookmarkEnd w:id="8"/>
    </w:p>
    <w:p>
      <w:pPr>
        <w:pageBreakBefore w:val="0"/>
        <w:numPr>
          <w:ilvl w:val="0"/>
          <w:numId w:val="1"/>
        </w:numPr>
        <w:kinsoku/>
        <w:topLinePunct w:val="0"/>
        <w:bidi w:val="0"/>
        <w:spacing w:line="360" w:lineRule="auto"/>
        <w:rPr>
          <w:rFonts w:hint="eastAsia"/>
          <w:b/>
          <w:color w:val="000000"/>
          <w:sz w:val="30"/>
          <w:szCs w:val="30"/>
          <w:highlight w:val="none"/>
        </w:rPr>
      </w:pPr>
      <w:r>
        <w:rPr>
          <w:rFonts w:hint="eastAsia"/>
          <w:b/>
          <w:color w:val="000000"/>
          <w:sz w:val="30"/>
          <w:szCs w:val="30"/>
          <w:highlight w:val="none"/>
        </w:rPr>
        <w:t>响应文件计量单位和使用文字</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8.1</w:t>
      </w:r>
      <w:r>
        <w:rPr>
          <w:rFonts w:hint="eastAsia" w:ascii="Times New Roman" w:hAnsi="Times New Roman"/>
          <w:color w:val="000000"/>
          <w:sz w:val="24"/>
          <w:szCs w:val="24"/>
          <w:highlight w:val="none"/>
        </w:rPr>
        <w:t>所有计量均采用中华人民共和国法定计量单位。</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8.2</w:t>
      </w:r>
      <w:r>
        <w:rPr>
          <w:rFonts w:hint="eastAsia" w:ascii="Times New Roman" w:hAnsi="Times New Roman"/>
          <w:color w:val="000000"/>
          <w:sz w:val="24"/>
          <w:szCs w:val="24"/>
          <w:highlight w:val="none"/>
        </w:rPr>
        <w:t>响应文件使用中文编制。响应文件部分内容必须使用其他文字的，应当附有该文字的中文译本。供应商承担未附中文译本或中文译本不准确而引起不利后果。</w:t>
      </w:r>
    </w:p>
    <w:p>
      <w:pPr>
        <w:pageBreakBefore w:val="0"/>
        <w:numPr>
          <w:ilvl w:val="0"/>
          <w:numId w:val="1"/>
        </w:numPr>
        <w:kinsoku/>
        <w:topLinePunct w:val="0"/>
        <w:bidi w:val="0"/>
        <w:spacing w:line="360" w:lineRule="auto"/>
        <w:rPr>
          <w:rFonts w:hint="eastAsia"/>
          <w:b/>
          <w:color w:val="000000"/>
          <w:sz w:val="30"/>
          <w:szCs w:val="30"/>
          <w:highlight w:val="none"/>
        </w:rPr>
      </w:pPr>
      <w:r>
        <w:rPr>
          <w:rFonts w:hint="eastAsia"/>
          <w:b/>
          <w:color w:val="000000"/>
          <w:sz w:val="30"/>
          <w:szCs w:val="30"/>
          <w:highlight w:val="none"/>
        </w:rPr>
        <w:t>联合体</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9.1</w:t>
      </w:r>
      <w:r>
        <w:rPr>
          <w:rFonts w:hint="eastAsia" w:ascii="Times New Roman" w:hAnsi="Times New Roman"/>
          <w:color w:val="000000"/>
          <w:sz w:val="24"/>
          <w:szCs w:val="24"/>
          <w:highlight w:val="none"/>
        </w:rPr>
        <w:t>不接受供应商组成联合体。</w:t>
      </w:r>
    </w:p>
    <w:p>
      <w:pPr>
        <w:pageBreakBefore w:val="0"/>
        <w:numPr>
          <w:ilvl w:val="0"/>
          <w:numId w:val="1"/>
        </w:numPr>
        <w:kinsoku/>
        <w:topLinePunct w:val="0"/>
        <w:bidi w:val="0"/>
        <w:spacing w:line="360" w:lineRule="auto"/>
        <w:rPr>
          <w:rFonts w:hint="eastAsia"/>
          <w:b/>
          <w:color w:val="000000"/>
          <w:sz w:val="30"/>
          <w:szCs w:val="30"/>
          <w:highlight w:val="none"/>
        </w:rPr>
      </w:pPr>
      <w:r>
        <w:rPr>
          <w:rFonts w:hint="eastAsia"/>
          <w:b/>
          <w:color w:val="000000"/>
          <w:sz w:val="30"/>
          <w:szCs w:val="30"/>
          <w:highlight w:val="none"/>
        </w:rPr>
        <w:t>响应文件的组成</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10.1</w:t>
      </w:r>
      <w:r>
        <w:rPr>
          <w:rFonts w:hint="eastAsia" w:ascii="Times New Roman" w:hAnsi="Times New Roman"/>
          <w:color w:val="000000"/>
          <w:sz w:val="24"/>
          <w:szCs w:val="24"/>
          <w:highlight w:val="none"/>
        </w:rPr>
        <w:t>响应文件</w:t>
      </w:r>
    </w:p>
    <w:p>
      <w:pPr>
        <w:keepNext w:val="0"/>
        <w:keepLines w:val="0"/>
        <w:pageBreakBefore w:val="0"/>
        <w:widowControl w:val="0"/>
        <w:numPr>
          <w:ilvl w:val="2"/>
          <w:numId w:val="1"/>
        </w:numPr>
        <w:tabs>
          <w:tab w:val="left" w:pos="1365"/>
          <w:tab w:val="clear" w:pos="1418"/>
        </w:tabs>
        <w:kinsoku/>
        <w:wordWrap/>
        <w:overflowPunct/>
        <w:topLinePunct w:val="0"/>
        <w:autoSpaceDE/>
        <w:autoSpaceDN/>
        <w:bidi w:val="0"/>
        <w:adjustRightInd/>
        <w:snapToGrid/>
        <w:spacing w:line="360" w:lineRule="auto"/>
        <w:ind w:left="0" w:firstLine="720" w:firstLineChars="300"/>
        <w:textAlignment w:val="auto"/>
        <w:rPr>
          <w:rFonts w:hint="eastAsia"/>
          <w:bCs/>
          <w:color w:val="000000"/>
          <w:sz w:val="24"/>
          <w:szCs w:val="24"/>
          <w:highlight w:val="none"/>
        </w:rPr>
      </w:pPr>
      <w:r>
        <w:rPr>
          <w:rFonts w:hint="eastAsia"/>
          <w:bCs/>
          <w:color w:val="000000"/>
          <w:sz w:val="24"/>
          <w:szCs w:val="24"/>
          <w:highlight w:val="none"/>
        </w:rPr>
        <w:t xml:space="preserve"> 磋商报价(详见磋商文件第六部分响应文件格式)；</w:t>
      </w:r>
    </w:p>
    <w:p>
      <w:pPr>
        <w:keepNext w:val="0"/>
        <w:keepLines w:val="0"/>
        <w:pageBreakBefore w:val="0"/>
        <w:widowControl w:val="0"/>
        <w:numPr>
          <w:ilvl w:val="2"/>
          <w:numId w:val="1"/>
        </w:numPr>
        <w:tabs>
          <w:tab w:val="left" w:pos="1365"/>
          <w:tab w:val="clear" w:pos="1418"/>
        </w:tabs>
        <w:kinsoku/>
        <w:wordWrap/>
        <w:overflowPunct/>
        <w:topLinePunct w:val="0"/>
        <w:autoSpaceDE/>
        <w:autoSpaceDN/>
        <w:bidi w:val="0"/>
        <w:adjustRightInd/>
        <w:snapToGrid/>
        <w:spacing w:line="360" w:lineRule="auto"/>
        <w:ind w:left="0" w:firstLine="720" w:firstLineChars="300"/>
        <w:textAlignment w:val="auto"/>
        <w:rPr>
          <w:rFonts w:hint="eastAsia"/>
          <w:bCs/>
          <w:color w:val="000000"/>
          <w:sz w:val="24"/>
          <w:szCs w:val="24"/>
          <w:highlight w:val="none"/>
        </w:rPr>
      </w:pPr>
      <w:r>
        <w:rPr>
          <w:rFonts w:hint="eastAsia"/>
          <w:bCs/>
          <w:color w:val="000000"/>
          <w:sz w:val="24"/>
          <w:szCs w:val="24"/>
          <w:highlight w:val="none"/>
        </w:rPr>
        <w:t xml:space="preserve"> 商务响应文件 (详见磋商文件第六部分响应文件格式)；</w:t>
      </w:r>
    </w:p>
    <w:p>
      <w:pPr>
        <w:keepNext w:val="0"/>
        <w:keepLines w:val="0"/>
        <w:pageBreakBefore w:val="0"/>
        <w:widowControl w:val="0"/>
        <w:numPr>
          <w:ilvl w:val="2"/>
          <w:numId w:val="1"/>
        </w:numPr>
        <w:tabs>
          <w:tab w:val="left" w:pos="1365"/>
          <w:tab w:val="clear" w:pos="1418"/>
        </w:tabs>
        <w:kinsoku/>
        <w:wordWrap/>
        <w:overflowPunct/>
        <w:topLinePunct w:val="0"/>
        <w:autoSpaceDE/>
        <w:autoSpaceDN/>
        <w:bidi w:val="0"/>
        <w:adjustRightInd/>
        <w:snapToGrid/>
        <w:spacing w:line="360" w:lineRule="auto"/>
        <w:ind w:left="0" w:firstLine="720" w:firstLineChars="300"/>
        <w:textAlignment w:val="auto"/>
        <w:rPr>
          <w:rFonts w:hint="eastAsia"/>
          <w:bCs/>
          <w:color w:val="000000"/>
          <w:sz w:val="24"/>
          <w:szCs w:val="24"/>
          <w:highlight w:val="none"/>
        </w:rPr>
      </w:pPr>
      <w:r>
        <w:rPr>
          <w:rFonts w:hint="eastAsia"/>
          <w:bCs/>
          <w:color w:val="000000"/>
          <w:sz w:val="24"/>
          <w:szCs w:val="24"/>
          <w:highlight w:val="none"/>
        </w:rPr>
        <w:t xml:space="preserve"> 技术响应文件 (详见磋商文件第六部分响应文件格式)；</w:t>
      </w:r>
    </w:p>
    <w:p>
      <w:pPr>
        <w:keepNext w:val="0"/>
        <w:keepLines w:val="0"/>
        <w:pageBreakBefore w:val="0"/>
        <w:widowControl w:val="0"/>
        <w:numPr>
          <w:ilvl w:val="2"/>
          <w:numId w:val="1"/>
        </w:numPr>
        <w:tabs>
          <w:tab w:val="left" w:pos="1365"/>
          <w:tab w:val="clear" w:pos="1418"/>
        </w:tabs>
        <w:kinsoku/>
        <w:wordWrap/>
        <w:overflowPunct/>
        <w:topLinePunct w:val="0"/>
        <w:autoSpaceDE/>
        <w:autoSpaceDN/>
        <w:bidi w:val="0"/>
        <w:adjustRightInd/>
        <w:snapToGrid/>
        <w:spacing w:line="360" w:lineRule="auto"/>
        <w:ind w:left="0" w:firstLine="720" w:firstLineChars="300"/>
        <w:textAlignment w:val="auto"/>
        <w:rPr>
          <w:rFonts w:hint="eastAsia"/>
          <w:bCs/>
          <w:color w:val="000000"/>
          <w:sz w:val="24"/>
          <w:szCs w:val="24"/>
          <w:highlight w:val="none"/>
        </w:rPr>
      </w:pPr>
      <w:r>
        <w:rPr>
          <w:rFonts w:hint="eastAsia"/>
          <w:bCs/>
          <w:color w:val="000000"/>
          <w:sz w:val="24"/>
          <w:szCs w:val="24"/>
          <w:highlight w:val="none"/>
        </w:rPr>
        <w:t xml:space="preserve"> 供应商认为需加以说明的其他内容；</w:t>
      </w:r>
    </w:p>
    <w:p>
      <w:pPr>
        <w:pageBreakBefore w:val="0"/>
        <w:numPr>
          <w:ilvl w:val="0"/>
          <w:numId w:val="1"/>
        </w:numPr>
        <w:kinsoku/>
        <w:topLinePunct w:val="0"/>
        <w:bidi w:val="0"/>
        <w:spacing w:line="360" w:lineRule="auto"/>
        <w:rPr>
          <w:rFonts w:hint="eastAsia"/>
          <w:b/>
          <w:color w:val="000000"/>
          <w:sz w:val="30"/>
          <w:szCs w:val="30"/>
          <w:highlight w:val="none"/>
        </w:rPr>
      </w:pPr>
      <w:r>
        <w:rPr>
          <w:rFonts w:hint="eastAsia"/>
          <w:b/>
          <w:color w:val="000000"/>
          <w:sz w:val="30"/>
          <w:szCs w:val="30"/>
          <w:highlight w:val="none"/>
        </w:rPr>
        <w:t>响应文件编制说明</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11.1</w:t>
      </w:r>
      <w:r>
        <w:rPr>
          <w:rFonts w:hint="eastAsia" w:ascii="Times New Roman" w:hAnsi="Times New Roman"/>
          <w:color w:val="000000"/>
          <w:sz w:val="24"/>
          <w:szCs w:val="24"/>
          <w:highlight w:val="none"/>
        </w:rPr>
        <w:t>响应文件必须按照磋商文件要求的统一格式顺序编写</w:t>
      </w:r>
      <w:r>
        <w:rPr>
          <w:rFonts w:hint="eastAsia" w:ascii="Times New Roman" w:hAnsi="Times New Roman"/>
          <w:b/>
          <w:color w:val="000000"/>
          <w:sz w:val="24"/>
          <w:szCs w:val="24"/>
          <w:highlight w:val="none"/>
        </w:rPr>
        <w:t>。</w:t>
      </w:r>
      <w:r>
        <w:rPr>
          <w:rFonts w:hint="eastAsia" w:ascii="Times New Roman" w:hAnsi="Times New Roman"/>
          <w:b/>
          <w:color w:val="000000"/>
          <w:sz w:val="24"/>
          <w:szCs w:val="24"/>
          <w:highlight w:val="none"/>
          <w:u w:val="single"/>
        </w:rPr>
        <w:t>要求响应文件全部内容制作详细的目录（包括页码的编制），为评审时查询作索引。</w:t>
      </w:r>
    </w:p>
    <w:p>
      <w:pPr>
        <w:pageBreakBefore w:val="0"/>
        <w:numPr>
          <w:ilvl w:val="0"/>
          <w:numId w:val="1"/>
        </w:numPr>
        <w:kinsoku/>
        <w:topLinePunct w:val="0"/>
        <w:bidi w:val="0"/>
        <w:spacing w:line="360" w:lineRule="auto"/>
        <w:rPr>
          <w:rFonts w:hint="eastAsia"/>
          <w:b/>
          <w:color w:val="000000"/>
          <w:sz w:val="30"/>
          <w:szCs w:val="30"/>
          <w:highlight w:val="none"/>
        </w:rPr>
      </w:pPr>
      <w:r>
        <w:rPr>
          <w:rFonts w:hint="eastAsia"/>
          <w:b/>
          <w:color w:val="000000"/>
          <w:sz w:val="30"/>
          <w:szCs w:val="30"/>
          <w:highlight w:val="none"/>
        </w:rPr>
        <w:t>磋商报价</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12.1</w:t>
      </w:r>
      <w:r>
        <w:rPr>
          <w:rFonts w:hint="eastAsia" w:ascii="Times New Roman" w:hAnsi="Times New Roman"/>
          <w:color w:val="000000"/>
          <w:sz w:val="24"/>
          <w:szCs w:val="24"/>
          <w:highlight w:val="none"/>
        </w:rPr>
        <w:t>《报价一览表》中全部货物和服务的报价，应当包括劳务、运输、管理、安装调试、技术培训、维护、保险、利润、税金等费用，以及合同包含的所有风险、责任等。</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12.2</w:t>
      </w:r>
      <w:r>
        <w:rPr>
          <w:rFonts w:hint="eastAsia" w:ascii="Times New Roman" w:hAnsi="Times New Roman"/>
          <w:color w:val="000000"/>
          <w:sz w:val="24"/>
          <w:szCs w:val="24"/>
          <w:highlight w:val="none"/>
        </w:rPr>
        <w:t>《报价一览表》 中的每一个费用单项，均应填写单价和计算总价，并由法定代表人或授权委托人签署并盖单位公章。</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12.3</w:t>
      </w:r>
      <w:r>
        <w:rPr>
          <w:rFonts w:hint="eastAsia" w:ascii="Times New Roman" w:hAnsi="Times New Roman"/>
          <w:color w:val="000000"/>
          <w:sz w:val="24"/>
          <w:szCs w:val="24"/>
          <w:highlight w:val="none"/>
        </w:rPr>
        <w:t>本项目只允许一个报价，不接受任何有选择性的磋商报价。</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12.4</w:t>
      </w:r>
      <w:r>
        <w:rPr>
          <w:rFonts w:hint="eastAsia" w:ascii="Times New Roman" w:hAnsi="Times New Roman"/>
          <w:color w:val="000000"/>
          <w:sz w:val="24"/>
          <w:szCs w:val="24"/>
          <w:highlight w:val="none"/>
        </w:rPr>
        <w:t>报价全部采用人民币表示。</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2" w:firstLineChars="200"/>
        <w:textAlignment w:val="auto"/>
        <w:outlineLvl w:val="9"/>
        <w:rPr>
          <w:rFonts w:hint="eastAsia" w:ascii="Times New Roman" w:hAnsi="Times New Roman"/>
          <w:b/>
          <w:bCs/>
          <w:color w:val="000000"/>
          <w:sz w:val="24"/>
          <w:szCs w:val="24"/>
          <w:highlight w:val="none"/>
        </w:rPr>
      </w:pPr>
      <w:r>
        <w:rPr>
          <w:rFonts w:hint="eastAsia" w:ascii="Times New Roman" w:hAnsi="Times New Roman"/>
          <w:b/>
          <w:bCs/>
          <w:color w:val="000000"/>
          <w:sz w:val="24"/>
          <w:szCs w:val="24"/>
          <w:highlight w:val="none"/>
          <w:lang w:val="en-US" w:eastAsia="zh-CN"/>
        </w:rPr>
        <w:t>12.5</w:t>
      </w:r>
      <w:r>
        <w:rPr>
          <w:rFonts w:hint="eastAsia" w:ascii="Times New Roman" w:hAnsi="Times New Roman"/>
          <w:b/>
          <w:bCs/>
          <w:color w:val="000000"/>
          <w:sz w:val="24"/>
          <w:szCs w:val="24"/>
          <w:highlight w:val="none"/>
        </w:rPr>
        <w:t>超出采购预算（最高投标限价）的报价为无效报价。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b/>
          <w:bCs/>
          <w:color w:val="000000"/>
          <w:sz w:val="24"/>
          <w:szCs w:val="24"/>
          <w:highlight w:val="none"/>
        </w:rPr>
      </w:pPr>
      <w:r>
        <w:rPr>
          <w:rFonts w:hint="eastAsia" w:ascii="Times New Roman" w:hAnsi="Times New Roman"/>
          <w:b/>
          <w:bCs/>
          <w:color w:val="000000"/>
          <w:sz w:val="24"/>
          <w:szCs w:val="24"/>
          <w:highlight w:val="none"/>
        </w:rPr>
        <w:t xml:space="preserve">  </w:t>
      </w:r>
    </w:p>
    <w:p>
      <w:pPr>
        <w:pageBreakBefore w:val="0"/>
        <w:numPr>
          <w:ilvl w:val="0"/>
          <w:numId w:val="1"/>
        </w:numPr>
        <w:kinsoku/>
        <w:topLinePunct w:val="0"/>
        <w:bidi w:val="0"/>
        <w:spacing w:line="360" w:lineRule="auto"/>
        <w:rPr>
          <w:rFonts w:hint="eastAsia"/>
          <w:b/>
          <w:color w:val="000000"/>
          <w:sz w:val="30"/>
          <w:szCs w:val="30"/>
          <w:highlight w:val="none"/>
        </w:rPr>
      </w:pPr>
      <w:r>
        <w:rPr>
          <w:rFonts w:hint="eastAsia"/>
          <w:b/>
          <w:color w:val="000000"/>
          <w:sz w:val="30"/>
          <w:szCs w:val="30"/>
          <w:highlight w:val="none"/>
        </w:rPr>
        <w:t xml:space="preserve">磋商保证金 </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b w:val="0"/>
          <w:bCs/>
          <w:color w:val="000000"/>
          <w:sz w:val="24"/>
          <w:szCs w:val="24"/>
          <w:highlight w:val="none"/>
        </w:rPr>
      </w:pPr>
      <w:r>
        <w:rPr>
          <w:rFonts w:hint="eastAsia" w:ascii="Times New Roman" w:hAnsi="Times New Roman"/>
          <w:b w:val="0"/>
          <w:bCs/>
          <w:color w:val="000000"/>
          <w:sz w:val="24"/>
          <w:szCs w:val="24"/>
          <w:highlight w:val="none"/>
          <w:lang w:val="en-US" w:eastAsia="zh-CN"/>
        </w:rPr>
        <w:t>13.1</w:t>
      </w:r>
      <w:r>
        <w:rPr>
          <w:rFonts w:hint="eastAsia" w:ascii="Times New Roman" w:hAnsi="Times New Roman"/>
          <w:b w:val="0"/>
          <w:bCs/>
          <w:color w:val="000000"/>
          <w:sz w:val="24"/>
          <w:szCs w:val="24"/>
          <w:highlight w:val="none"/>
        </w:rPr>
        <w:t>磋商保证金金额：见供应商须知前附表。</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b w:val="0"/>
          <w:bCs/>
          <w:color w:val="000000"/>
          <w:sz w:val="24"/>
          <w:szCs w:val="24"/>
          <w:highlight w:val="none"/>
        </w:rPr>
      </w:pPr>
      <w:r>
        <w:rPr>
          <w:rFonts w:hint="eastAsia" w:ascii="Times New Roman" w:hAnsi="Times New Roman"/>
          <w:b w:val="0"/>
          <w:bCs/>
          <w:color w:val="000000"/>
          <w:sz w:val="24"/>
          <w:szCs w:val="24"/>
          <w:highlight w:val="none"/>
          <w:lang w:val="en-US" w:eastAsia="zh-CN"/>
        </w:rPr>
        <w:t>13.2</w:t>
      </w:r>
      <w:r>
        <w:rPr>
          <w:rFonts w:hint="eastAsia" w:ascii="Times New Roman" w:hAnsi="Times New Roman"/>
          <w:b w:val="0"/>
          <w:bCs/>
          <w:color w:val="000000"/>
          <w:sz w:val="24"/>
          <w:szCs w:val="24"/>
          <w:highlight w:val="none"/>
        </w:rPr>
        <w:t>磋商保证金缴纳时间：见供应商须知前附表。</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b w:val="0"/>
          <w:bCs/>
          <w:color w:val="000000"/>
          <w:sz w:val="24"/>
          <w:szCs w:val="24"/>
          <w:highlight w:val="none"/>
        </w:rPr>
      </w:pPr>
      <w:r>
        <w:rPr>
          <w:rFonts w:hint="eastAsia" w:ascii="Times New Roman" w:hAnsi="Times New Roman"/>
          <w:b w:val="0"/>
          <w:bCs/>
          <w:color w:val="000000"/>
          <w:sz w:val="24"/>
          <w:szCs w:val="24"/>
          <w:highlight w:val="none"/>
          <w:lang w:val="en-US" w:eastAsia="zh-CN"/>
        </w:rPr>
        <w:t>13.3</w:t>
      </w:r>
      <w:r>
        <w:rPr>
          <w:rFonts w:hint="eastAsia" w:ascii="Times New Roman" w:hAnsi="Times New Roman"/>
          <w:b w:val="0"/>
          <w:bCs/>
          <w:color w:val="000000"/>
          <w:sz w:val="24"/>
          <w:szCs w:val="24"/>
          <w:highlight w:val="none"/>
        </w:rPr>
        <w:t>磋商保证金缴纳账户：见供应商须知前附表。</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b w:val="0"/>
          <w:bCs/>
          <w:color w:val="000000"/>
          <w:sz w:val="24"/>
          <w:szCs w:val="24"/>
          <w:highlight w:val="none"/>
        </w:rPr>
      </w:pPr>
      <w:r>
        <w:rPr>
          <w:rFonts w:hint="eastAsia" w:ascii="Times New Roman" w:hAnsi="Times New Roman"/>
          <w:b w:val="0"/>
          <w:bCs/>
          <w:color w:val="000000"/>
          <w:sz w:val="24"/>
          <w:szCs w:val="24"/>
          <w:highlight w:val="none"/>
          <w:lang w:val="en-US" w:eastAsia="zh-CN"/>
        </w:rPr>
        <w:t>13.4</w:t>
      </w:r>
      <w:r>
        <w:rPr>
          <w:rFonts w:hint="eastAsia" w:ascii="Times New Roman" w:hAnsi="Times New Roman"/>
          <w:b w:val="0"/>
          <w:bCs/>
          <w:color w:val="000000"/>
          <w:sz w:val="24"/>
          <w:szCs w:val="24"/>
          <w:highlight w:val="none"/>
        </w:rPr>
        <w:t>磋商保证金缴纳方式：见供应商须知前附表。</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b w:val="0"/>
          <w:bCs/>
          <w:color w:val="000000"/>
          <w:sz w:val="24"/>
          <w:szCs w:val="24"/>
          <w:highlight w:val="none"/>
        </w:rPr>
      </w:pPr>
      <w:r>
        <w:rPr>
          <w:rFonts w:hint="eastAsia" w:ascii="Times New Roman" w:hAnsi="Times New Roman"/>
          <w:b w:val="0"/>
          <w:bCs/>
          <w:color w:val="000000"/>
          <w:sz w:val="24"/>
          <w:szCs w:val="24"/>
          <w:highlight w:val="none"/>
          <w:lang w:val="en-US" w:eastAsia="zh-CN"/>
        </w:rPr>
        <w:t>13.5</w:t>
      </w:r>
      <w:r>
        <w:rPr>
          <w:rFonts w:hint="eastAsia" w:ascii="Times New Roman" w:hAnsi="Times New Roman"/>
          <w:b w:val="0"/>
          <w:bCs/>
          <w:color w:val="000000"/>
          <w:sz w:val="24"/>
          <w:szCs w:val="24"/>
          <w:highlight w:val="none"/>
        </w:rPr>
        <w:t>供应商未按磋商文件要提交磋商保证金的，报价无效。</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b w:val="0"/>
          <w:bCs/>
          <w:color w:val="000000"/>
          <w:sz w:val="24"/>
          <w:szCs w:val="24"/>
          <w:highlight w:val="none"/>
        </w:rPr>
      </w:pPr>
      <w:r>
        <w:rPr>
          <w:rFonts w:hint="eastAsia" w:ascii="Times New Roman" w:hAnsi="Times New Roman"/>
          <w:b w:val="0"/>
          <w:bCs/>
          <w:color w:val="000000"/>
          <w:sz w:val="24"/>
          <w:szCs w:val="24"/>
          <w:highlight w:val="none"/>
          <w:lang w:val="en-US" w:eastAsia="zh-CN"/>
        </w:rPr>
        <w:t>13.6</w:t>
      </w:r>
      <w:r>
        <w:rPr>
          <w:rFonts w:hint="eastAsia" w:ascii="Times New Roman" w:hAnsi="Times New Roman"/>
          <w:b w:val="0"/>
          <w:bCs/>
          <w:color w:val="000000"/>
          <w:sz w:val="24"/>
          <w:szCs w:val="24"/>
          <w:highlight w:val="none"/>
        </w:rPr>
        <w:t>未成交供应商的磋商保证金，采购代理机构将在成交通知书发出后5个工作日内退还。成交供应商的磋商保证金将在政府采购合同签署后5个工作日内退还。磋商保证金退还到供应商的基本账户。</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b w:val="0"/>
          <w:bCs/>
          <w:color w:val="000000"/>
          <w:sz w:val="24"/>
          <w:szCs w:val="24"/>
          <w:highlight w:val="none"/>
        </w:rPr>
      </w:pPr>
      <w:r>
        <w:rPr>
          <w:rFonts w:hint="eastAsia" w:ascii="Times New Roman" w:hAnsi="Times New Roman"/>
          <w:b w:val="0"/>
          <w:bCs/>
          <w:color w:val="000000"/>
          <w:sz w:val="24"/>
          <w:szCs w:val="24"/>
          <w:highlight w:val="none"/>
          <w:lang w:val="en-US" w:eastAsia="zh-CN"/>
        </w:rPr>
        <w:t>13.7</w:t>
      </w:r>
      <w:r>
        <w:rPr>
          <w:rFonts w:hint="eastAsia" w:ascii="Times New Roman" w:hAnsi="Times New Roman"/>
          <w:b w:val="0"/>
          <w:bCs/>
          <w:color w:val="000000"/>
          <w:sz w:val="24"/>
          <w:szCs w:val="24"/>
          <w:highlight w:val="none"/>
        </w:rPr>
        <w:t>发生下列情况之一，磋商保证金不予退还：</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720" w:firstLineChars="300"/>
        <w:textAlignment w:val="auto"/>
        <w:outlineLvl w:val="9"/>
        <w:rPr>
          <w:rFonts w:hint="eastAsia" w:ascii="Times New Roman" w:hAnsi="Times New Roman"/>
          <w:b w:val="0"/>
          <w:bCs/>
          <w:color w:val="000000"/>
          <w:sz w:val="24"/>
          <w:szCs w:val="24"/>
          <w:highlight w:val="none"/>
          <w:lang w:val="en-US" w:eastAsia="zh-CN"/>
        </w:rPr>
      </w:pPr>
      <w:r>
        <w:rPr>
          <w:rFonts w:hint="eastAsia" w:ascii="Times New Roman" w:hAnsi="Times New Roman"/>
          <w:b w:val="0"/>
          <w:bCs/>
          <w:color w:val="000000"/>
          <w:sz w:val="24"/>
          <w:szCs w:val="24"/>
          <w:highlight w:val="none"/>
          <w:lang w:val="en-US" w:eastAsia="zh-CN"/>
        </w:rPr>
        <w:t>13.7.1供应商在提交响应文件截止时间后撤回响应文件的；</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720" w:firstLineChars="300"/>
        <w:textAlignment w:val="auto"/>
        <w:outlineLvl w:val="9"/>
        <w:rPr>
          <w:rFonts w:hint="eastAsia" w:ascii="Times New Roman" w:hAnsi="Times New Roman"/>
          <w:b w:val="0"/>
          <w:bCs/>
          <w:color w:val="000000"/>
          <w:sz w:val="24"/>
          <w:szCs w:val="24"/>
          <w:highlight w:val="none"/>
          <w:lang w:val="en-US" w:eastAsia="zh-CN"/>
        </w:rPr>
      </w:pPr>
      <w:r>
        <w:rPr>
          <w:rFonts w:hint="eastAsia" w:ascii="Times New Roman" w:hAnsi="Times New Roman"/>
          <w:b w:val="0"/>
          <w:bCs/>
          <w:color w:val="000000"/>
          <w:sz w:val="24"/>
          <w:szCs w:val="24"/>
          <w:highlight w:val="none"/>
          <w:lang w:val="en-US" w:eastAsia="zh-CN"/>
        </w:rPr>
        <w:t>13.7.2供应商在响应文件中提供虚假材料的；</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720" w:firstLineChars="300"/>
        <w:textAlignment w:val="auto"/>
        <w:outlineLvl w:val="9"/>
        <w:rPr>
          <w:rFonts w:hint="eastAsia" w:ascii="Times New Roman" w:hAnsi="Times New Roman"/>
          <w:b w:val="0"/>
          <w:bCs/>
          <w:color w:val="000000"/>
          <w:sz w:val="24"/>
          <w:szCs w:val="24"/>
          <w:highlight w:val="none"/>
          <w:lang w:val="en-US" w:eastAsia="zh-CN"/>
        </w:rPr>
      </w:pPr>
      <w:r>
        <w:rPr>
          <w:rFonts w:hint="eastAsia" w:ascii="Times New Roman" w:hAnsi="Times New Roman"/>
          <w:b w:val="0"/>
          <w:bCs/>
          <w:color w:val="000000"/>
          <w:sz w:val="24"/>
          <w:szCs w:val="24"/>
          <w:highlight w:val="none"/>
          <w:lang w:val="en-US" w:eastAsia="zh-CN"/>
        </w:rPr>
        <w:t>13.7.3除因不可抗力或磋商文件认可的情形以外，成交供应商不与采购人签订合同的；</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720" w:firstLineChars="300"/>
        <w:textAlignment w:val="auto"/>
        <w:outlineLvl w:val="9"/>
        <w:rPr>
          <w:rFonts w:hint="eastAsia" w:ascii="Times New Roman" w:hAnsi="Times New Roman"/>
          <w:b w:val="0"/>
          <w:bCs/>
          <w:color w:val="000000"/>
          <w:sz w:val="24"/>
          <w:szCs w:val="24"/>
          <w:highlight w:val="none"/>
          <w:lang w:val="en-US" w:eastAsia="zh-CN"/>
        </w:rPr>
      </w:pPr>
      <w:r>
        <w:rPr>
          <w:rFonts w:hint="eastAsia" w:ascii="Times New Roman" w:hAnsi="Times New Roman"/>
          <w:b w:val="0"/>
          <w:bCs/>
          <w:color w:val="000000"/>
          <w:sz w:val="24"/>
          <w:szCs w:val="24"/>
          <w:highlight w:val="none"/>
          <w:lang w:val="en-US" w:eastAsia="zh-CN"/>
        </w:rPr>
        <w:t>13.7.4供应商与采购人、其他供应商或者采购代理机构恶意串通的；</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720" w:firstLineChars="300"/>
        <w:textAlignment w:val="auto"/>
        <w:outlineLvl w:val="9"/>
        <w:rPr>
          <w:rFonts w:hint="eastAsia" w:ascii="Times New Roman" w:hAnsi="Times New Roman"/>
          <w:b w:val="0"/>
          <w:bCs/>
          <w:color w:val="000000"/>
          <w:sz w:val="24"/>
          <w:szCs w:val="24"/>
          <w:highlight w:val="none"/>
          <w:lang w:val="en-US" w:eastAsia="zh-CN"/>
        </w:rPr>
      </w:pPr>
      <w:r>
        <w:rPr>
          <w:rFonts w:hint="eastAsia" w:ascii="Times New Roman" w:hAnsi="Times New Roman"/>
          <w:b w:val="0"/>
          <w:bCs/>
          <w:color w:val="000000"/>
          <w:sz w:val="24"/>
          <w:szCs w:val="24"/>
          <w:highlight w:val="none"/>
          <w:lang w:val="en-US" w:eastAsia="zh-CN"/>
        </w:rPr>
        <w:t>13.7.5供应商提交磋商保证金后，至提交响应文件截止时间未参加磋商，且未在提交响应文件截止时间前书面通知采购代理机构声明放弃磋商的；</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720" w:firstLineChars="300"/>
        <w:textAlignment w:val="auto"/>
        <w:outlineLvl w:val="9"/>
        <w:rPr>
          <w:rFonts w:hint="eastAsia" w:ascii="Times New Roman" w:hAnsi="Times New Roman"/>
          <w:b w:val="0"/>
          <w:bCs/>
          <w:color w:val="000000"/>
          <w:sz w:val="24"/>
          <w:szCs w:val="24"/>
          <w:highlight w:val="none"/>
        </w:rPr>
      </w:pPr>
      <w:r>
        <w:rPr>
          <w:rFonts w:hint="eastAsia" w:ascii="Times New Roman" w:hAnsi="Times New Roman"/>
          <w:b w:val="0"/>
          <w:bCs/>
          <w:color w:val="000000"/>
          <w:sz w:val="24"/>
          <w:szCs w:val="24"/>
          <w:highlight w:val="none"/>
          <w:lang w:val="en-US" w:eastAsia="zh-CN"/>
        </w:rPr>
        <w:t>13.7.6</w:t>
      </w:r>
      <w:r>
        <w:rPr>
          <w:rFonts w:hint="eastAsia" w:ascii="Times New Roman" w:hAnsi="Times New Roman"/>
          <w:b w:val="0"/>
          <w:bCs/>
          <w:color w:val="000000"/>
          <w:sz w:val="24"/>
          <w:szCs w:val="24"/>
          <w:highlight w:val="none"/>
        </w:rPr>
        <w:t>成交供应商不在规定期限内与采购人签订合同的；</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720" w:firstLineChars="300"/>
        <w:textAlignment w:val="auto"/>
        <w:outlineLvl w:val="9"/>
        <w:rPr>
          <w:rFonts w:hint="eastAsia" w:ascii="Times New Roman" w:hAnsi="Times New Roman"/>
          <w:color w:val="000000"/>
          <w:highlight w:val="none"/>
        </w:rPr>
      </w:pPr>
      <w:r>
        <w:rPr>
          <w:rFonts w:hint="eastAsia" w:ascii="Times New Roman" w:hAnsi="Times New Roman"/>
          <w:b w:val="0"/>
          <w:bCs/>
          <w:color w:val="000000"/>
          <w:sz w:val="24"/>
          <w:szCs w:val="24"/>
          <w:highlight w:val="none"/>
          <w:lang w:val="en-US" w:eastAsia="zh-CN"/>
        </w:rPr>
        <w:t>13.7.7</w:t>
      </w:r>
      <w:r>
        <w:rPr>
          <w:rFonts w:hint="eastAsia" w:ascii="Times New Roman" w:hAnsi="Times New Roman"/>
          <w:b w:val="0"/>
          <w:bCs/>
          <w:color w:val="000000"/>
          <w:sz w:val="24"/>
          <w:szCs w:val="24"/>
          <w:highlight w:val="none"/>
        </w:rPr>
        <w:t>供应商在本次磋商过程中出现违反法律法规的行为、扰乱磋商、评审秩序的行为或恶意利用规则谋求不法利益的行为。</w:t>
      </w:r>
    </w:p>
    <w:p>
      <w:pPr>
        <w:pageBreakBefore w:val="0"/>
        <w:numPr>
          <w:ilvl w:val="0"/>
          <w:numId w:val="1"/>
        </w:numPr>
        <w:kinsoku/>
        <w:topLinePunct w:val="0"/>
        <w:bidi w:val="0"/>
        <w:spacing w:line="360" w:lineRule="auto"/>
        <w:rPr>
          <w:rFonts w:hint="eastAsia"/>
          <w:b/>
          <w:color w:val="000000"/>
          <w:sz w:val="30"/>
          <w:szCs w:val="30"/>
          <w:highlight w:val="none"/>
        </w:rPr>
      </w:pPr>
      <w:r>
        <w:rPr>
          <w:rFonts w:hint="eastAsia"/>
          <w:b/>
          <w:color w:val="000000"/>
          <w:sz w:val="30"/>
          <w:szCs w:val="30"/>
          <w:highlight w:val="none"/>
        </w:rPr>
        <w:t>响应文件的有效期</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14.1</w:t>
      </w:r>
      <w:r>
        <w:rPr>
          <w:rFonts w:hint="eastAsia" w:ascii="Times New Roman" w:hAnsi="Times New Roman"/>
          <w:color w:val="000000"/>
          <w:sz w:val="24"/>
          <w:szCs w:val="24"/>
          <w:highlight w:val="none"/>
        </w:rPr>
        <w:t>自开启响应文件截止之日起</w:t>
      </w:r>
      <w:r>
        <w:rPr>
          <w:rFonts w:hint="eastAsia" w:ascii="Times New Roman" w:hAnsi="Times New Roman"/>
          <w:b/>
          <w:color w:val="000000"/>
          <w:sz w:val="24"/>
          <w:szCs w:val="24"/>
          <w:highlight w:val="none"/>
          <w:u w:val="single"/>
        </w:rPr>
        <w:t>60天内</w:t>
      </w:r>
      <w:r>
        <w:rPr>
          <w:rFonts w:hint="eastAsia" w:ascii="Times New Roman" w:hAnsi="Times New Roman"/>
          <w:color w:val="000000"/>
          <w:sz w:val="24"/>
          <w:szCs w:val="24"/>
          <w:highlight w:val="none"/>
        </w:rPr>
        <w:t>，响应文件应保持有效。有效期短于规定期限的，将被拒绝。</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14.2</w:t>
      </w:r>
      <w:r>
        <w:rPr>
          <w:rFonts w:hint="eastAsia" w:ascii="Times New Roman" w:hAnsi="Times New Roman"/>
          <w:color w:val="000000"/>
          <w:sz w:val="24"/>
          <w:szCs w:val="24"/>
          <w:highlight w:val="none"/>
        </w:rPr>
        <w:t>在特殊情况下，采购代理机构可与供应商协商延长响应文件的有效期。协商应当以信函、传真或电子邮件的形式进行。同意延长有效期的供应商，其磋商保证金的有效期也相应延长，但不能修改响应文件。拒绝接受延长有效期要求的供应商，其磋商将被拒绝，磋商保证金将被退还。</w:t>
      </w:r>
    </w:p>
    <w:p>
      <w:pPr>
        <w:pageBreakBefore w:val="0"/>
        <w:numPr>
          <w:ilvl w:val="0"/>
          <w:numId w:val="1"/>
        </w:numPr>
        <w:kinsoku/>
        <w:topLinePunct w:val="0"/>
        <w:bidi w:val="0"/>
        <w:spacing w:line="360" w:lineRule="auto"/>
        <w:rPr>
          <w:rFonts w:hint="eastAsia"/>
          <w:b/>
          <w:color w:val="000000"/>
          <w:sz w:val="30"/>
          <w:szCs w:val="30"/>
          <w:highlight w:val="none"/>
        </w:rPr>
      </w:pPr>
      <w:r>
        <w:rPr>
          <w:rFonts w:hint="eastAsia"/>
          <w:b/>
          <w:color w:val="000000"/>
          <w:sz w:val="30"/>
          <w:szCs w:val="30"/>
          <w:highlight w:val="none"/>
        </w:rPr>
        <w:t>响应文件的份数和签署</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2" w:firstLineChars="200"/>
        <w:textAlignment w:val="auto"/>
        <w:outlineLvl w:val="9"/>
        <w:rPr>
          <w:rFonts w:hint="eastAsia" w:ascii="Times New Roman" w:hAnsi="Times New Roman"/>
          <w:b/>
          <w:color w:val="000000"/>
          <w:sz w:val="24"/>
          <w:szCs w:val="24"/>
          <w:highlight w:val="none"/>
        </w:rPr>
      </w:pPr>
      <w:r>
        <w:rPr>
          <w:rFonts w:hint="eastAsia" w:ascii="Times New Roman" w:hAnsi="Times New Roman"/>
          <w:b/>
          <w:color w:val="000000"/>
          <w:sz w:val="24"/>
          <w:szCs w:val="24"/>
          <w:highlight w:val="none"/>
          <w:lang w:val="en-US" w:eastAsia="zh-CN"/>
        </w:rPr>
        <w:t>15.1</w:t>
      </w:r>
      <w:r>
        <w:rPr>
          <w:rFonts w:hint="eastAsia" w:ascii="Times New Roman" w:hAnsi="Times New Roman"/>
          <w:b/>
          <w:color w:val="000000"/>
          <w:sz w:val="24"/>
          <w:szCs w:val="24"/>
          <w:highlight w:val="none"/>
        </w:rPr>
        <w:t>响应文件份数：见供应商须知前附表。</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15.2</w:t>
      </w:r>
      <w:r>
        <w:rPr>
          <w:rFonts w:hint="eastAsia" w:ascii="Times New Roman" w:hAnsi="Times New Roman"/>
          <w:color w:val="000000"/>
          <w:sz w:val="24"/>
          <w:szCs w:val="24"/>
          <w:highlight w:val="none"/>
        </w:rPr>
        <w:t>响应文件正本均须用不褪色墨水书写、打印或印刷，响应文件副本的所有资料，都可以用响应文件的正本复制。响应文件封面的右上角应当清楚地注明“正本”或“副本”。响应文件的正本和副本内容有不一致的，以正本为准。</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15.3</w:t>
      </w:r>
      <w:r>
        <w:rPr>
          <w:rFonts w:hint="eastAsia" w:ascii="Times New Roman" w:hAnsi="Times New Roman"/>
          <w:color w:val="000000"/>
          <w:sz w:val="24"/>
          <w:szCs w:val="24"/>
          <w:highlight w:val="none"/>
        </w:rPr>
        <w:t>响应文件正本主要内容（磋商文件格式中要求法人代表或授权委托人签字的内容和加盖单位公章）应由供应商的法定代表人或其授权的委托人签字（或盖章）并加盖供应商公章。</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15.4</w:t>
      </w:r>
      <w:r>
        <w:rPr>
          <w:rFonts w:hint="eastAsia" w:ascii="Times New Roman" w:hAnsi="Times New Roman"/>
          <w:color w:val="000000"/>
          <w:sz w:val="24"/>
          <w:szCs w:val="24"/>
          <w:highlight w:val="none"/>
        </w:rPr>
        <w:t>全套响应文件应无涂改、无行间插字。除非这些删改是根据采购代理机构的要求实施的，或者是供应商造成的错误且必须修改的。修改处应由响应文件签字人签字证明。</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15.5</w:t>
      </w:r>
      <w:r>
        <w:rPr>
          <w:rFonts w:hint="eastAsia" w:ascii="Times New Roman" w:hAnsi="Times New Roman"/>
          <w:color w:val="000000"/>
          <w:sz w:val="24"/>
          <w:szCs w:val="24"/>
          <w:highlight w:val="none"/>
        </w:rPr>
        <w:t>传真或电传的响应文件将被拒绝。</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color w:val="000000"/>
          <w:sz w:val="24"/>
          <w:szCs w:val="24"/>
          <w:highlight w:val="none"/>
          <w:u w:val="single"/>
        </w:rPr>
      </w:pPr>
      <w:r>
        <w:rPr>
          <w:rFonts w:hint="eastAsia"/>
          <w:b/>
          <w:color w:val="000000"/>
          <w:sz w:val="24"/>
          <w:szCs w:val="24"/>
          <w:highlight w:val="none"/>
          <w:u w:val="single"/>
        </w:rPr>
        <w:t>特别说明：本项目要求供应商提交电子版响应文件。</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000000"/>
          <w:sz w:val="24"/>
          <w:szCs w:val="24"/>
          <w:highlight w:val="none"/>
          <w:u w:val="single"/>
        </w:rPr>
      </w:pPr>
      <w:r>
        <w:rPr>
          <w:rFonts w:hint="eastAsia"/>
          <w:b/>
          <w:color w:val="000000"/>
          <w:sz w:val="24"/>
          <w:szCs w:val="24"/>
          <w:highlight w:val="none"/>
          <w:u w:val="single"/>
        </w:rPr>
        <w:t>电子版响应文件与对应的响应文件正本内容必须一致。其载体必须是可以被读取的U盘。电子版响应文件提交后不予退还。</w:t>
      </w:r>
    </w:p>
    <w:p>
      <w:pPr>
        <w:pageBreakBefore w:val="0"/>
        <w:numPr>
          <w:ilvl w:val="0"/>
          <w:numId w:val="3"/>
        </w:numPr>
        <w:tabs>
          <w:tab w:val="left" w:pos="540"/>
          <w:tab w:val="left" w:pos="720"/>
          <w:tab w:val="clear" w:pos="960"/>
        </w:tabs>
        <w:kinsoku/>
        <w:topLinePunct w:val="0"/>
        <w:bidi w:val="0"/>
        <w:spacing w:before="100" w:beforeAutospacing="1" w:after="100" w:afterAutospacing="1" w:line="360" w:lineRule="auto"/>
        <w:ind w:left="720" w:hanging="720"/>
        <w:outlineLvl w:val="9"/>
        <w:rPr>
          <w:rFonts w:hint="eastAsia"/>
          <w:b/>
          <w:color w:val="000000"/>
          <w:sz w:val="32"/>
          <w:szCs w:val="32"/>
          <w:highlight w:val="none"/>
        </w:rPr>
      </w:pPr>
      <w:bookmarkStart w:id="9" w:name="_Toc317237777"/>
      <w:bookmarkStart w:id="10" w:name="_Toc3240"/>
      <w:bookmarkStart w:id="11" w:name="_Toc317237602"/>
      <w:r>
        <w:rPr>
          <w:rFonts w:hint="eastAsia"/>
          <w:b/>
          <w:color w:val="000000"/>
          <w:sz w:val="32"/>
          <w:szCs w:val="32"/>
          <w:highlight w:val="none"/>
        </w:rPr>
        <w:t>响应文件的递交</w:t>
      </w:r>
      <w:bookmarkEnd w:id="9"/>
      <w:bookmarkEnd w:id="10"/>
      <w:bookmarkEnd w:id="11"/>
    </w:p>
    <w:p>
      <w:pPr>
        <w:pageBreakBefore w:val="0"/>
        <w:numPr>
          <w:ilvl w:val="0"/>
          <w:numId w:val="1"/>
        </w:numPr>
        <w:kinsoku/>
        <w:topLinePunct w:val="0"/>
        <w:bidi w:val="0"/>
        <w:spacing w:line="360" w:lineRule="auto"/>
        <w:rPr>
          <w:rFonts w:hint="eastAsia"/>
          <w:b/>
          <w:color w:val="000000"/>
          <w:sz w:val="30"/>
          <w:szCs w:val="30"/>
          <w:highlight w:val="none"/>
        </w:rPr>
      </w:pPr>
      <w:r>
        <w:rPr>
          <w:rFonts w:hint="eastAsia"/>
          <w:b/>
          <w:color w:val="000000"/>
          <w:sz w:val="30"/>
          <w:szCs w:val="30"/>
          <w:highlight w:val="none"/>
        </w:rPr>
        <w:t>响应文件的装订、密封及标记</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16.1</w:t>
      </w:r>
      <w:r>
        <w:rPr>
          <w:rFonts w:hint="eastAsia" w:ascii="Times New Roman" w:hAnsi="Times New Roman"/>
          <w:color w:val="000000"/>
          <w:sz w:val="24"/>
          <w:szCs w:val="24"/>
          <w:highlight w:val="none"/>
        </w:rPr>
        <w:t>所有响应文件必须</w:t>
      </w:r>
      <w:r>
        <w:rPr>
          <w:rFonts w:hint="eastAsia" w:ascii="Times New Roman" w:hAnsi="Times New Roman"/>
          <w:b/>
          <w:bCs/>
          <w:color w:val="000000"/>
          <w:sz w:val="24"/>
          <w:szCs w:val="24"/>
          <w:highlight w:val="none"/>
        </w:rPr>
        <w:t>胶装成册</w:t>
      </w:r>
      <w:r>
        <w:rPr>
          <w:rFonts w:hint="eastAsia" w:ascii="Times New Roman" w:hAnsi="Times New Roman"/>
          <w:color w:val="000000"/>
          <w:sz w:val="24"/>
          <w:szCs w:val="24"/>
          <w:highlight w:val="none"/>
        </w:rPr>
        <w:t>。</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16.2</w:t>
      </w:r>
      <w:r>
        <w:rPr>
          <w:rFonts w:hint="eastAsia" w:ascii="Times New Roman" w:hAnsi="Times New Roman"/>
          <w:color w:val="000000"/>
          <w:sz w:val="24"/>
          <w:szCs w:val="24"/>
          <w:highlight w:val="none"/>
        </w:rPr>
        <w:t>响应文件应按以下方法分别装袋密封：</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b/>
          <w:bCs/>
          <w:color w:val="000000"/>
          <w:sz w:val="24"/>
          <w:szCs w:val="24"/>
          <w:highlight w:val="none"/>
        </w:rPr>
      </w:pPr>
      <w:r>
        <w:rPr>
          <w:rFonts w:hint="eastAsia" w:ascii="Times New Roman" w:hAnsi="Times New Roman"/>
          <w:color w:val="000000"/>
          <w:sz w:val="24"/>
          <w:szCs w:val="24"/>
          <w:highlight w:val="none"/>
          <w:lang w:val="en-US" w:eastAsia="zh-CN"/>
        </w:rPr>
        <w:t>16.2.1</w:t>
      </w:r>
      <w:r>
        <w:rPr>
          <w:rFonts w:hint="eastAsia" w:ascii="Times New Roman" w:hAnsi="Times New Roman"/>
          <w:b/>
          <w:bCs/>
          <w:color w:val="000000"/>
          <w:sz w:val="24"/>
          <w:szCs w:val="24"/>
          <w:highlight w:val="none"/>
        </w:rPr>
        <w:t>供应商应将响应文件的正本封装为一个密封袋，将所有副本封装为一个或多个密封袋。在密封袋上，要清楚标明“正本”、“副本”字样。</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16.2.2</w:t>
      </w:r>
      <w:r>
        <w:rPr>
          <w:rFonts w:hint="eastAsia" w:ascii="Times New Roman" w:hAnsi="Times New Roman"/>
          <w:color w:val="000000"/>
          <w:sz w:val="24"/>
          <w:szCs w:val="24"/>
          <w:highlight w:val="none"/>
        </w:rPr>
        <w:t>封皮上写明</w:t>
      </w:r>
      <w:r>
        <w:rPr>
          <w:rFonts w:hint="eastAsia" w:ascii="Times New Roman" w:hAnsi="Times New Roman"/>
          <w:b/>
          <w:bCs/>
          <w:color w:val="000000"/>
          <w:sz w:val="24"/>
          <w:szCs w:val="24"/>
          <w:highlight w:val="none"/>
        </w:rPr>
        <w:t>采购人名称、项目名称、</w:t>
      </w:r>
      <w:r>
        <w:rPr>
          <w:rFonts w:hint="eastAsia" w:ascii="Times New Roman" w:hAnsi="Times New Roman"/>
          <w:b/>
          <w:bCs/>
          <w:color w:val="000000"/>
          <w:sz w:val="24"/>
          <w:szCs w:val="24"/>
          <w:highlight w:val="none"/>
          <w:lang w:val="en-US" w:eastAsia="zh-CN"/>
        </w:rPr>
        <w:t>包号、</w:t>
      </w:r>
      <w:r>
        <w:rPr>
          <w:rFonts w:hint="eastAsia" w:ascii="Times New Roman" w:hAnsi="Times New Roman"/>
          <w:b/>
          <w:bCs/>
          <w:color w:val="000000"/>
          <w:sz w:val="24"/>
          <w:szCs w:val="24"/>
          <w:highlight w:val="none"/>
        </w:rPr>
        <w:t>项目编号、供应商名称</w:t>
      </w:r>
      <w:r>
        <w:rPr>
          <w:rFonts w:hint="eastAsia" w:ascii="Times New Roman" w:hAnsi="Times New Roman"/>
          <w:color w:val="000000"/>
          <w:sz w:val="24"/>
          <w:szCs w:val="24"/>
          <w:highlight w:val="none"/>
        </w:rPr>
        <w:t>。</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16.2.3</w:t>
      </w:r>
      <w:r>
        <w:rPr>
          <w:rFonts w:hint="eastAsia" w:ascii="Times New Roman" w:hAnsi="Times New Roman"/>
          <w:color w:val="000000"/>
          <w:sz w:val="24"/>
          <w:szCs w:val="24"/>
          <w:highlight w:val="none"/>
        </w:rPr>
        <w:t>供应商应按上述要求密封及书写标记。</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16.2.4</w:t>
      </w:r>
      <w:r>
        <w:rPr>
          <w:rFonts w:hint="eastAsia" w:ascii="Times New Roman" w:hAnsi="Times New Roman"/>
          <w:color w:val="000000"/>
          <w:sz w:val="24"/>
          <w:szCs w:val="24"/>
          <w:highlight w:val="none"/>
        </w:rPr>
        <w:t>响应文件的装订做到整齐、干净、牢固即可。过度包装和精美装饰不是加分条件。</w:t>
      </w:r>
    </w:p>
    <w:p>
      <w:pPr>
        <w:pageBreakBefore w:val="0"/>
        <w:numPr>
          <w:ilvl w:val="0"/>
          <w:numId w:val="1"/>
        </w:numPr>
        <w:kinsoku/>
        <w:topLinePunct w:val="0"/>
        <w:bidi w:val="0"/>
        <w:spacing w:line="360" w:lineRule="auto"/>
        <w:rPr>
          <w:rFonts w:hint="eastAsia"/>
          <w:b/>
          <w:color w:val="000000"/>
          <w:sz w:val="30"/>
          <w:szCs w:val="30"/>
          <w:highlight w:val="none"/>
        </w:rPr>
      </w:pPr>
      <w:r>
        <w:rPr>
          <w:rFonts w:hint="eastAsia"/>
          <w:b/>
          <w:color w:val="000000"/>
          <w:sz w:val="30"/>
          <w:szCs w:val="30"/>
          <w:highlight w:val="none"/>
        </w:rPr>
        <w:t>截止时间</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17.1</w:t>
      </w:r>
      <w:r>
        <w:rPr>
          <w:rFonts w:hint="eastAsia" w:ascii="Times New Roman" w:hAnsi="Times New Roman"/>
          <w:color w:val="000000"/>
          <w:sz w:val="24"/>
          <w:szCs w:val="24"/>
          <w:highlight w:val="none"/>
        </w:rPr>
        <w:t>响应文件必须在提交响应文件截止时间前送达磋商地点。</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17.2</w:t>
      </w:r>
      <w:r>
        <w:rPr>
          <w:rFonts w:hint="eastAsia" w:ascii="Times New Roman" w:hAnsi="Times New Roman"/>
          <w:color w:val="000000"/>
          <w:sz w:val="24"/>
          <w:szCs w:val="24"/>
          <w:highlight w:val="none"/>
        </w:rPr>
        <w:t>采购代理机构推迟响应文件截止时间，将在不晚于原定响应文件截止时间前3天发布公告。</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17.3</w:t>
      </w:r>
      <w:r>
        <w:rPr>
          <w:rFonts w:hint="eastAsia" w:ascii="Times New Roman" w:hAnsi="Times New Roman"/>
          <w:color w:val="000000"/>
          <w:sz w:val="24"/>
          <w:szCs w:val="24"/>
          <w:highlight w:val="none"/>
        </w:rPr>
        <w:t>在响应文件截止时间以后送达的响应文件，采购代理机构拒绝接收。</w:t>
      </w:r>
    </w:p>
    <w:p>
      <w:pPr>
        <w:pageBreakBefore w:val="0"/>
        <w:numPr>
          <w:ilvl w:val="0"/>
          <w:numId w:val="1"/>
        </w:numPr>
        <w:kinsoku/>
        <w:topLinePunct w:val="0"/>
        <w:bidi w:val="0"/>
        <w:spacing w:line="360" w:lineRule="auto"/>
        <w:rPr>
          <w:rFonts w:hint="eastAsia"/>
          <w:b/>
          <w:color w:val="000000"/>
          <w:sz w:val="24"/>
          <w:highlight w:val="none"/>
        </w:rPr>
      </w:pPr>
      <w:r>
        <w:rPr>
          <w:rFonts w:hint="eastAsia"/>
          <w:b/>
          <w:color w:val="000000"/>
          <w:sz w:val="24"/>
          <w:highlight w:val="none"/>
        </w:rPr>
        <w:t>响应文件的修改和撤回</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18.1</w:t>
      </w:r>
      <w:r>
        <w:rPr>
          <w:rFonts w:hint="eastAsia" w:ascii="Times New Roman" w:hAnsi="Times New Roman"/>
          <w:color w:val="000000"/>
          <w:sz w:val="24"/>
          <w:szCs w:val="24"/>
          <w:highlight w:val="none"/>
        </w:rPr>
        <w:t>响应文件提交截止时间以后，供应商不得修改和撤回响应文件，不得在磋商有效期内撤回响应文件，否则磋商保证金不予退还。</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highlight w:val="none"/>
        </w:rPr>
      </w:pPr>
      <w:r>
        <w:rPr>
          <w:rFonts w:hint="eastAsia" w:ascii="Times New Roman" w:hAnsi="Times New Roman"/>
          <w:color w:val="000000"/>
          <w:sz w:val="24"/>
          <w:szCs w:val="24"/>
          <w:highlight w:val="none"/>
          <w:lang w:val="en-US" w:eastAsia="zh-CN"/>
        </w:rPr>
        <w:t>18.2</w:t>
      </w:r>
      <w:r>
        <w:rPr>
          <w:rFonts w:hint="eastAsia" w:ascii="Times New Roman" w:hAnsi="Times New Roman"/>
          <w:color w:val="000000"/>
          <w:sz w:val="24"/>
          <w:szCs w:val="24"/>
          <w:highlight w:val="none"/>
        </w:rPr>
        <w:t>响应文件提交后，均不予退还</w:t>
      </w:r>
      <w:r>
        <w:rPr>
          <w:rFonts w:hint="eastAsia" w:ascii="Times New Roman" w:hAnsi="Times New Roman"/>
          <w:color w:val="000000"/>
          <w:highlight w:val="none"/>
        </w:rPr>
        <w:t>。</w:t>
      </w:r>
    </w:p>
    <w:p>
      <w:pPr>
        <w:pageBreakBefore w:val="0"/>
        <w:numPr>
          <w:ilvl w:val="0"/>
          <w:numId w:val="3"/>
        </w:numPr>
        <w:tabs>
          <w:tab w:val="left" w:pos="540"/>
          <w:tab w:val="left" w:pos="720"/>
          <w:tab w:val="clear" w:pos="960"/>
        </w:tabs>
        <w:kinsoku/>
        <w:topLinePunct w:val="0"/>
        <w:bidi w:val="0"/>
        <w:spacing w:before="100" w:beforeAutospacing="1" w:after="100" w:afterAutospacing="1" w:line="360" w:lineRule="auto"/>
        <w:ind w:left="720" w:hanging="720"/>
        <w:outlineLvl w:val="9"/>
        <w:rPr>
          <w:rFonts w:hint="eastAsia"/>
          <w:b/>
          <w:color w:val="000000"/>
          <w:sz w:val="32"/>
          <w:szCs w:val="32"/>
          <w:highlight w:val="none"/>
        </w:rPr>
      </w:pPr>
      <w:bookmarkStart w:id="12" w:name="_Toc317237778"/>
      <w:bookmarkStart w:id="13" w:name="_Toc317237603"/>
      <w:bookmarkStart w:id="14" w:name="_Toc11655"/>
      <w:r>
        <w:rPr>
          <w:rFonts w:hint="eastAsia"/>
          <w:b/>
          <w:color w:val="000000"/>
          <w:sz w:val="32"/>
          <w:szCs w:val="32"/>
          <w:highlight w:val="none"/>
        </w:rPr>
        <w:t>磋商程序</w:t>
      </w:r>
      <w:bookmarkEnd w:id="12"/>
      <w:bookmarkEnd w:id="13"/>
      <w:bookmarkEnd w:id="14"/>
    </w:p>
    <w:p>
      <w:pPr>
        <w:pageBreakBefore w:val="0"/>
        <w:numPr>
          <w:ilvl w:val="0"/>
          <w:numId w:val="1"/>
        </w:numPr>
        <w:kinsoku/>
        <w:topLinePunct w:val="0"/>
        <w:bidi w:val="0"/>
        <w:spacing w:line="360" w:lineRule="auto"/>
        <w:rPr>
          <w:rFonts w:hint="eastAsia"/>
          <w:b/>
          <w:color w:val="000000"/>
          <w:sz w:val="30"/>
          <w:szCs w:val="30"/>
          <w:highlight w:val="none"/>
        </w:rPr>
      </w:pPr>
      <w:r>
        <w:rPr>
          <w:rFonts w:hint="eastAsia"/>
          <w:b/>
          <w:color w:val="000000"/>
          <w:sz w:val="30"/>
          <w:szCs w:val="30"/>
          <w:highlight w:val="none"/>
        </w:rPr>
        <w:t>磋商文件的送达</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19.1</w:t>
      </w:r>
      <w:r>
        <w:rPr>
          <w:rFonts w:hint="eastAsia" w:ascii="Times New Roman" w:hAnsi="Times New Roman"/>
          <w:color w:val="000000"/>
          <w:sz w:val="24"/>
          <w:szCs w:val="24"/>
          <w:highlight w:val="none"/>
        </w:rPr>
        <w:t>供应商应当在磋商文件要求的截止时间前，将响应文件密封送达指定地点。在截止时间后送达的响应文件为无效文件，采购人、采购代理机构或者磋商小组应当拒收。</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19.2</w:t>
      </w:r>
      <w:r>
        <w:rPr>
          <w:rFonts w:hint="eastAsia" w:ascii="Times New Roman" w:hAnsi="Times New Roman"/>
          <w:color w:val="000000"/>
          <w:sz w:val="24"/>
          <w:szCs w:val="24"/>
          <w:highlight w:val="none"/>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rPr>
        <w:t>19.3采购代理机构按磋商文件规定的时间、地点举行磋商仪式。磋商仪式由采购代理机构主持，邀请采购人代表、供应商代表及有关工作人员参加。供应商的法定代表人或法定代表人授权的代表必须参加磋商仪式。</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2" w:firstLineChars="200"/>
        <w:textAlignment w:val="auto"/>
        <w:outlineLvl w:val="9"/>
        <w:rPr>
          <w:rFonts w:hint="eastAsia" w:ascii="Times New Roman" w:hAnsi="Times New Roman"/>
          <w:b/>
          <w:bCs/>
          <w:color w:val="000000"/>
          <w:sz w:val="24"/>
          <w:szCs w:val="24"/>
          <w:highlight w:val="none"/>
        </w:rPr>
      </w:pPr>
      <w:r>
        <w:rPr>
          <w:rFonts w:hint="eastAsia" w:ascii="Times New Roman" w:hAnsi="Times New Roman"/>
          <w:b/>
          <w:bCs/>
          <w:color w:val="000000"/>
          <w:sz w:val="24"/>
          <w:szCs w:val="24"/>
          <w:highlight w:val="none"/>
        </w:rPr>
        <w:t>19.4送达响应文件的</w:t>
      </w:r>
      <w:r>
        <w:rPr>
          <w:rFonts w:hint="eastAsia" w:ascii="Times New Roman" w:hAnsi="Times New Roman"/>
          <w:b/>
          <w:bCs/>
          <w:color w:val="000000"/>
          <w:sz w:val="24"/>
          <w:szCs w:val="24"/>
          <w:highlight w:val="none"/>
          <w:lang w:eastAsia="zh-CN"/>
        </w:rPr>
        <w:t>供应商</w:t>
      </w:r>
      <w:r>
        <w:rPr>
          <w:rFonts w:hint="eastAsia" w:ascii="Times New Roman" w:hAnsi="Times New Roman"/>
          <w:b/>
          <w:bCs/>
          <w:color w:val="000000"/>
          <w:sz w:val="24"/>
          <w:szCs w:val="24"/>
          <w:highlight w:val="none"/>
        </w:rPr>
        <w:t>代表应为法定代表人或授权委托人。投标时，</w:t>
      </w:r>
      <w:r>
        <w:rPr>
          <w:rFonts w:hint="eastAsia" w:ascii="Times New Roman" w:hAnsi="Times New Roman"/>
          <w:b/>
          <w:bCs/>
          <w:color w:val="000000"/>
          <w:sz w:val="24"/>
          <w:szCs w:val="24"/>
          <w:highlight w:val="none"/>
          <w:lang w:eastAsia="zh-CN"/>
        </w:rPr>
        <w:t>供应商</w:t>
      </w:r>
      <w:r>
        <w:rPr>
          <w:rFonts w:hint="eastAsia" w:ascii="Times New Roman" w:hAnsi="Times New Roman"/>
          <w:b/>
          <w:bCs/>
          <w:color w:val="000000"/>
          <w:sz w:val="24"/>
          <w:szCs w:val="24"/>
          <w:highlight w:val="none"/>
        </w:rPr>
        <w:t>代表应携带本人身份证原件、法人授权委托书原件（法定代表人现场投标者除外）签到。</w:t>
      </w:r>
    </w:p>
    <w:p>
      <w:pPr>
        <w:pageBreakBefore w:val="0"/>
        <w:numPr>
          <w:ilvl w:val="0"/>
          <w:numId w:val="1"/>
        </w:numPr>
        <w:kinsoku/>
        <w:topLinePunct w:val="0"/>
        <w:bidi w:val="0"/>
        <w:spacing w:line="360" w:lineRule="auto"/>
        <w:rPr>
          <w:rFonts w:hint="eastAsia"/>
          <w:b/>
          <w:color w:val="000000"/>
          <w:sz w:val="30"/>
          <w:szCs w:val="30"/>
          <w:highlight w:val="none"/>
        </w:rPr>
      </w:pPr>
      <w:r>
        <w:rPr>
          <w:rFonts w:hint="eastAsia"/>
          <w:b/>
          <w:color w:val="000000"/>
          <w:sz w:val="30"/>
          <w:szCs w:val="30"/>
          <w:highlight w:val="none"/>
        </w:rPr>
        <w:t>磋商小组</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20.1</w:t>
      </w:r>
      <w:r>
        <w:rPr>
          <w:rFonts w:hint="eastAsia" w:ascii="Times New Roman" w:hAnsi="Times New Roman"/>
          <w:color w:val="000000"/>
          <w:sz w:val="24"/>
          <w:szCs w:val="24"/>
          <w:highlight w:val="none"/>
        </w:rPr>
        <w:t>磋商小组的组成：见供应商须知前附表。</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20.2</w:t>
      </w:r>
      <w:r>
        <w:rPr>
          <w:rFonts w:hint="eastAsia" w:ascii="Times New Roman" w:hAnsi="Times New Roman"/>
          <w:color w:val="000000"/>
          <w:sz w:val="24"/>
          <w:szCs w:val="24"/>
          <w:highlight w:val="none"/>
        </w:rPr>
        <w:t>评审方法：见供应商须知前附表。</w:t>
      </w:r>
    </w:p>
    <w:p>
      <w:pPr>
        <w:pageBreakBefore w:val="0"/>
        <w:numPr>
          <w:ilvl w:val="0"/>
          <w:numId w:val="1"/>
        </w:numPr>
        <w:kinsoku/>
        <w:topLinePunct w:val="0"/>
        <w:bidi w:val="0"/>
        <w:spacing w:line="360" w:lineRule="auto"/>
        <w:rPr>
          <w:rFonts w:hint="eastAsia"/>
          <w:b/>
          <w:color w:val="000000"/>
          <w:sz w:val="30"/>
          <w:szCs w:val="30"/>
          <w:highlight w:val="none"/>
        </w:rPr>
      </w:pPr>
      <w:r>
        <w:rPr>
          <w:rFonts w:hint="eastAsia"/>
          <w:b/>
          <w:color w:val="000000"/>
          <w:sz w:val="30"/>
          <w:szCs w:val="30"/>
          <w:highlight w:val="none"/>
        </w:rPr>
        <w:t>磋商方式和内容</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21.1</w:t>
      </w:r>
      <w:r>
        <w:rPr>
          <w:rFonts w:hint="eastAsia" w:ascii="Times New Roman" w:hAnsi="Times New Roman"/>
          <w:color w:val="000000"/>
          <w:sz w:val="24"/>
          <w:szCs w:val="24"/>
          <w:highlight w:val="none"/>
        </w:rPr>
        <w:t>磋商小组按供应商提交响应文件的顺序分别与通过资格审查的供应商进行磋商，并给予所有参加磋商的供应商平等的磋商机会。</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21.2</w:t>
      </w:r>
      <w:r>
        <w:rPr>
          <w:rFonts w:hint="eastAsia" w:ascii="Times New Roman" w:hAnsi="Times New Roman"/>
          <w:color w:val="000000"/>
          <w:sz w:val="24"/>
          <w:szCs w:val="24"/>
          <w:highlight w:val="none"/>
        </w:rPr>
        <w:t>磋商内容包括技术方案响应情况、服务内容标准与承诺、技术能力、合同条件、采购要求的优化建议等。在磋商过程中，磋商小组可以根据磋商文件和磋商情况实质性变动采购需求中的技术、服务要求以及合同草案条款，但不得变动磋商文件中的其他内容。实质性变动的内容，须经采购人代表确认。</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21.3</w:t>
      </w:r>
      <w:r>
        <w:rPr>
          <w:rFonts w:hint="eastAsia" w:ascii="Times New Roman" w:hAnsi="Times New Roman"/>
          <w:color w:val="000000"/>
          <w:sz w:val="24"/>
          <w:szCs w:val="24"/>
          <w:highlight w:val="none"/>
        </w:rPr>
        <w:t>磋商小组可以根据磋商的实际情况决定磋商的轮次，但最多不能超过三轮磋商。</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color w:val="000000"/>
          <w:sz w:val="24"/>
          <w:szCs w:val="24"/>
          <w:highlight w:val="none"/>
        </w:rPr>
      </w:pPr>
      <w:r>
        <w:rPr>
          <w:rFonts w:hint="eastAsia" w:ascii="Times New Roman" w:hAnsi="Times New Roman"/>
          <w:color w:val="000000"/>
          <w:sz w:val="24"/>
          <w:szCs w:val="24"/>
          <w:highlight w:val="none"/>
          <w:lang w:val="en-US" w:eastAsia="zh-CN"/>
        </w:rPr>
        <w:t>21.4</w:t>
      </w:r>
      <w:r>
        <w:rPr>
          <w:rFonts w:hint="eastAsia" w:ascii="Times New Roman" w:hAnsi="Times New Roman"/>
          <w:color w:val="000000"/>
          <w:sz w:val="24"/>
          <w:szCs w:val="24"/>
          <w:highlight w:val="none"/>
        </w:rPr>
        <w:t>供应商在磋商中作出的承诺，是其响应文件的组成部分。</w:t>
      </w:r>
    </w:p>
    <w:p>
      <w:pPr>
        <w:pageBreakBefore w:val="0"/>
        <w:numPr>
          <w:ilvl w:val="0"/>
          <w:numId w:val="1"/>
        </w:numPr>
        <w:kinsoku/>
        <w:topLinePunct w:val="0"/>
        <w:bidi w:val="0"/>
        <w:spacing w:line="360" w:lineRule="auto"/>
        <w:rPr>
          <w:rFonts w:hint="eastAsia"/>
          <w:b/>
          <w:color w:val="000000"/>
          <w:sz w:val="30"/>
          <w:szCs w:val="30"/>
          <w:highlight w:val="none"/>
        </w:rPr>
      </w:pPr>
      <w:r>
        <w:rPr>
          <w:rFonts w:hint="eastAsia"/>
          <w:b/>
          <w:color w:val="000000"/>
          <w:sz w:val="30"/>
          <w:szCs w:val="30"/>
          <w:highlight w:val="none"/>
        </w:rPr>
        <w:t>磋商内容的保密</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22.1</w:t>
      </w:r>
      <w:r>
        <w:rPr>
          <w:rFonts w:hint="eastAsia" w:ascii="Times New Roman" w:hAnsi="Times New Roman"/>
          <w:color w:val="000000"/>
          <w:sz w:val="24"/>
          <w:szCs w:val="24"/>
          <w:highlight w:val="none"/>
        </w:rPr>
        <w:t>磋商后，至正式授予成交供应商合同止，凡属于审查、澄清、评价和比较的所有资料、有关授予合同的信息等，都不能向供应商或与磋商无关的其他人泄露。</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22.2</w:t>
      </w:r>
      <w:r>
        <w:rPr>
          <w:rFonts w:hint="eastAsia" w:ascii="Times New Roman" w:hAnsi="Times New Roman"/>
          <w:color w:val="000000"/>
          <w:sz w:val="24"/>
          <w:szCs w:val="24"/>
          <w:highlight w:val="none"/>
        </w:rPr>
        <w:t>在响应文件的审查、澄清、评价和比较以及授予合同的过程中，供应商对采购人、采购代理机构和磋商小组成员施加影响的任何行为，都将导致其磋商资格被取消。</w:t>
      </w:r>
    </w:p>
    <w:p>
      <w:pPr>
        <w:pageBreakBefore w:val="0"/>
        <w:numPr>
          <w:ilvl w:val="0"/>
          <w:numId w:val="1"/>
        </w:numPr>
        <w:kinsoku/>
        <w:topLinePunct w:val="0"/>
        <w:bidi w:val="0"/>
        <w:spacing w:line="360" w:lineRule="auto"/>
        <w:rPr>
          <w:rFonts w:hint="eastAsia"/>
          <w:b/>
          <w:color w:val="000000"/>
          <w:sz w:val="30"/>
          <w:szCs w:val="30"/>
          <w:highlight w:val="none"/>
        </w:rPr>
      </w:pPr>
      <w:r>
        <w:rPr>
          <w:rFonts w:hint="eastAsia"/>
          <w:b/>
          <w:color w:val="000000"/>
          <w:sz w:val="30"/>
          <w:szCs w:val="30"/>
          <w:highlight w:val="none"/>
        </w:rPr>
        <w:t>对响应文件的评审</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eastAsia="宋体"/>
          <w:color w:val="000000"/>
          <w:sz w:val="24"/>
          <w:szCs w:val="24"/>
          <w:highlight w:val="none"/>
          <w:lang w:val="en-US" w:eastAsia="zh-CN"/>
        </w:rPr>
      </w:pPr>
      <w:r>
        <w:rPr>
          <w:rFonts w:hint="eastAsia" w:ascii="Times New Roman" w:hAnsi="Times New Roman"/>
          <w:color w:val="000000"/>
          <w:sz w:val="24"/>
          <w:szCs w:val="24"/>
          <w:highlight w:val="none"/>
          <w:lang w:val="en-US" w:eastAsia="zh-CN"/>
        </w:rPr>
        <w:t>23.1</w:t>
      </w:r>
      <w:r>
        <w:rPr>
          <w:rFonts w:hint="eastAsia" w:ascii="Times New Roman" w:hAnsi="Times New Roman"/>
          <w:color w:val="000000"/>
          <w:sz w:val="24"/>
          <w:szCs w:val="24"/>
          <w:highlight w:val="none"/>
        </w:rPr>
        <w:t>评审程序、评审方法和评审标准见第五部分</w:t>
      </w:r>
      <w:r>
        <w:rPr>
          <w:rFonts w:hint="eastAsia" w:ascii="Times New Roman" w:hAnsi="Times New Roman"/>
          <w:color w:val="000000"/>
          <w:sz w:val="24"/>
          <w:szCs w:val="24"/>
          <w:highlight w:val="none"/>
          <w:lang w:eastAsia="zh-CN"/>
        </w:rPr>
        <w:t>。</w:t>
      </w:r>
    </w:p>
    <w:p>
      <w:pPr>
        <w:pageBreakBefore w:val="0"/>
        <w:numPr>
          <w:ilvl w:val="0"/>
          <w:numId w:val="1"/>
        </w:numPr>
        <w:kinsoku/>
        <w:topLinePunct w:val="0"/>
        <w:bidi w:val="0"/>
        <w:spacing w:line="360" w:lineRule="auto"/>
        <w:rPr>
          <w:rFonts w:hint="eastAsia"/>
          <w:b/>
          <w:color w:val="000000"/>
          <w:sz w:val="30"/>
          <w:szCs w:val="30"/>
          <w:highlight w:val="none"/>
        </w:rPr>
      </w:pPr>
      <w:r>
        <w:rPr>
          <w:rFonts w:hint="eastAsia"/>
          <w:b/>
          <w:color w:val="000000"/>
          <w:sz w:val="30"/>
          <w:szCs w:val="30"/>
          <w:highlight w:val="none"/>
        </w:rPr>
        <w:t>确认成交结果</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24.1</w:t>
      </w:r>
      <w:r>
        <w:rPr>
          <w:rFonts w:hint="eastAsia" w:ascii="Times New Roman" w:hAnsi="Times New Roman"/>
          <w:color w:val="000000"/>
          <w:sz w:val="24"/>
          <w:szCs w:val="24"/>
          <w:highlight w:val="none"/>
        </w:rPr>
        <w:t>采购代理机构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24.2</w:t>
      </w:r>
      <w:r>
        <w:rPr>
          <w:rFonts w:hint="eastAsia" w:ascii="Times New Roman" w:hAnsi="Times New Roman"/>
          <w:color w:val="000000"/>
          <w:sz w:val="24"/>
          <w:szCs w:val="24"/>
          <w:highlight w:val="none"/>
        </w:rPr>
        <w:t>采购人或者采购代理机构应当在成交供应商确定后2个工作日内，在省级以上财政部门指定的政府采购信息发布媒体上公告成交结果，同时向成交供应商发出成交通知书，并将磋商文件随成交结果同时公告。成交通知书是成交供应商与采购人签订合同的依据。合同签订后，成交通知书成为合同的一部分。</w:t>
      </w:r>
    </w:p>
    <w:p>
      <w:pPr>
        <w:pageBreakBefore w:val="0"/>
        <w:numPr>
          <w:ilvl w:val="0"/>
          <w:numId w:val="3"/>
        </w:numPr>
        <w:tabs>
          <w:tab w:val="left" w:pos="540"/>
          <w:tab w:val="left" w:pos="720"/>
          <w:tab w:val="clear" w:pos="960"/>
        </w:tabs>
        <w:kinsoku/>
        <w:topLinePunct w:val="0"/>
        <w:bidi w:val="0"/>
        <w:spacing w:before="100" w:beforeAutospacing="1" w:after="100" w:afterAutospacing="1" w:line="360" w:lineRule="auto"/>
        <w:ind w:left="720" w:hanging="720"/>
        <w:outlineLvl w:val="9"/>
        <w:rPr>
          <w:rFonts w:hint="eastAsia"/>
          <w:b/>
          <w:color w:val="000000"/>
          <w:sz w:val="32"/>
          <w:szCs w:val="32"/>
          <w:highlight w:val="none"/>
        </w:rPr>
      </w:pPr>
      <w:bookmarkStart w:id="15" w:name="_Toc317237779"/>
      <w:bookmarkStart w:id="16" w:name="_Toc317237604"/>
      <w:bookmarkStart w:id="17" w:name="_Toc2372"/>
      <w:r>
        <w:rPr>
          <w:rFonts w:hint="eastAsia"/>
          <w:b/>
          <w:color w:val="000000"/>
          <w:sz w:val="32"/>
          <w:szCs w:val="32"/>
          <w:highlight w:val="none"/>
        </w:rPr>
        <w:t>授予合同</w:t>
      </w:r>
      <w:bookmarkEnd w:id="15"/>
      <w:bookmarkEnd w:id="16"/>
      <w:bookmarkEnd w:id="17"/>
    </w:p>
    <w:p>
      <w:pPr>
        <w:pageBreakBefore w:val="0"/>
        <w:numPr>
          <w:ilvl w:val="0"/>
          <w:numId w:val="1"/>
        </w:numPr>
        <w:kinsoku/>
        <w:topLinePunct w:val="0"/>
        <w:bidi w:val="0"/>
        <w:spacing w:line="360" w:lineRule="auto"/>
        <w:rPr>
          <w:rFonts w:hint="eastAsia"/>
          <w:b/>
          <w:color w:val="000000"/>
          <w:sz w:val="30"/>
          <w:szCs w:val="30"/>
          <w:highlight w:val="none"/>
        </w:rPr>
      </w:pPr>
      <w:r>
        <w:rPr>
          <w:rFonts w:hint="eastAsia"/>
          <w:b/>
          <w:color w:val="000000"/>
          <w:sz w:val="30"/>
          <w:szCs w:val="30"/>
          <w:highlight w:val="none"/>
        </w:rPr>
        <w:t>成交供应商的确认</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25.1</w:t>
      </w:r>
      <w:r>
        <w:rPr>
          <w:rFonts w:hint="eastAsia" w:ascii="Times New Roman" w:hAnsi="Times New Roman"/>
          <w:color w:val="000000"/>
          <w:sz w:val="24"/>
          <w:szCs w:val="24"/>
          <w:highlight w:val="none"/>
        </w:rPr>
        <w:t>磋商小组根据本磋商文件第五部分的规定，对供应商进行审查，对响应文件进行评价和比较，按照磋商文件规定的排序原则推荐成交候选人。</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25.2</w:t>
      </w:r>
      <w:r>
        <w:rPr>
          <w:rFonts w:hint="eastAsia" w:ascii="Times New Roman" w:hAnsi="Times New Roman"/>
          <w:color w:val="000000"/>
          <w:sz w:val="24"/>
          <w:szCs w:val="24"/>
          <w:highlight w:val="none"/>
        </w:rPr>
        <w:t>磋商小组有权按磋商文件的要求评定并推荐成交候选供应商，也有权拒绝任何或所有不符合磋商文件要求的供应商的响应文件。</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25.3</w:t>
      </w:r>
      <w:r>
        <w:rPr>
          <w:rFonts w:hint="eastAsia" w:ascii="Times New Roman" w:hAnsi="Times New Roman"/>
          <w:color w:val="000000"/>
          <w:sz w:val="24"/>
          <w:szCs w:val="24"/>
          <w:highlight w:val="none"/>
        </w:rPr>
        <w:t>采购人按照磋商小组推荐的成交候选供应商顺序确定成交供应商，磋商小组推荐成交候选人的人数见供应商须知前附表。</w:t>
      </w:r>
    </w:p>
    <w:p>
      <w:pPr>
        <w:pageBreakBefore w:val="0"/>
        <w:numPr>
          <w:ilvl w:val="0"/>
          <w:numId w:val="1"/>
        </w:numPr>
        <w:kinsoku/>
        <w:topLinePunct w:val="0"/>
        <w:bidi w:val="0"/>
        <w:spacing w:line="360" w:lineRule="auto"/>
        <w:rPr>
          <w:rFonts w:hint="eastAsia"/>
          <w:b/>
          <w:color w:val="000000"/>
          <w:sz w:val="30"/>
          <w:szCs w:val="30"/>
          <w:highlight w:val="none"/>
        </w:rPr>
      </w:pPr>
      <w:r>
        <w:rPr>
          <w:rFonts w:hint="eastAsia"/>
          <w:b/>
          <w:color w:val="000000"/>
          <w:sz w:val="30"/>
          <w:szCs w:val="30"/>
          <w:highlight w:val="none"/>
        </w:rPr>
        <w:t>合同授予标准</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26.1</w:t>
      </w:r>
      <w:r>
        <w:rPr>
          <w:rFonts w:hint="eastAsia" w:ascii="Times New Roman" w:hAnsi="Times New Roman"/>
          <w:color w:val="000000"/>
          <w:sz w:val="24"/>
          <w:szCs w:val="24"/>
          <w:highlight w:val="none"/>
        </w:rPr>
        <w:t>采购人应当把合同授予磋商小组推荐的第一顺序成交候选人。被授予合同的供应商必须具有实施本合同的能力和资源。</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26.2</w:t>
      </w:r>
      <w:r>
        <w:rPr>
          <w:rFonts w:hint="eastAsia" w:ascii="Times New Roman" w:hAnsi="Times New Roman"/>
          <w:color w:val="000000"/>
          <w:sz w:val="24"/>
          <w:szCs w:val="24"/>
          <w:highlight w:val="none"/>
        </w:rPr>
        <w:t>确认成交供应商之前，采购人有权对成交候选人诚信履约的能力进行最后审查。审查方式包括询问、调查、考察、要求成交候选人作出履约承诺或担保等。如果发现成交候选人提供了虚假材料，在响应文件中有故意隐瞒或虚报的情节，在以往的成交项目中有不诚信履约的情形，不能按采购人要求作出相应的履约承诺或担保等，采购人有权否决其成交资格，按顺序确定排名随后的供应商作为成交供应商。</w:t>
      </w:r>
    </w:p>
    <w:p>
      <w:pPr>
        <w:pageBreakBefore w:val="0"/>
        <w:numPr>
          <w:ilvl w:val="0"/>
          <w:numId w:val="1"/>
        </w:numPr>
        <w:kinsoku/>
        <w:topLinePunct w:val="0"/>
        <w:bidi w:val="0"/>
        <w:spacing w:line="360" w:lineRule="auto"/>
        <w:rPr>
          <w:rFonts w:hint="eastAsia"/>
          <w:b/>
          <w:color w:val="000000"/>
          <w:sz w:val="30"/>
          <w:szCs w:val="30"/>
          <w:highlight w:val="none"/>
        </w:rPr>
      </w:pPr>
      <w:r>
        <w:rPr>
          <w:rFonts w:hint="eastAsia"/>
          <w:b/>
          <w:color w:val="000000"/>
          <w:sz w:val="30"/>
          <w:szCs w:val="30"/>
          <w:highlight w:val="none"/>
        </w:rPr>
        <w:t>成交通知</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27.1</w:t>
      </w:r>
      <w:r>
        <w:rPr>
          <w:rFonts w:hint="eastAsia" w:ascii="Times New Roman" w:hAnsi="Times New Roman"/>
          <w:color w:val="000000"/>
          <w:sz w:val="24"/>
          <w:szCs w:val="24"/>
          <w:highlight w:val="none"/>
        </w:rPr>
        <w:t>确定成交供应商后，采购代理机构在发布成交公告的同时，以书面形式向成交供应商发出成交通知书。成交通知书应当规定签署合同的日期和地点。</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27.2</w:t>
      </w:r>
      <w:r>
        <w:rPr>
          <w:rFonts w:hint="eastAsia" w:ascii="Times New Roman" w:hAnsi="Times New Roman"/>
          <w:color w:val="000000"/>
          <w:sz w:val="24"/>
          <w:szCs w:val="24"/>
          <w:highlight w:val="none"/>
        </w:rPr>
        <w:t>成交通知书的送达方式，包括传真、快递、电子邮件和委托代理人领取。采购代理机构可以选用其中一种或多种方式送达。</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27.3</w:t>
      </w:r>
      <w:r>
        <w:rPr>
          <w:rFonts w:hint="eastAsia" w:ascii="Times New Roman" w:hAnsi="Times New Roman"/>
          <w:color w:val="000000"/>
          <w:sz w:val="24"/>
          <w:szCs w:val="24"/>
          <w:highlight w:val="none"/>
        </w:rPr>
        <w:t>成交通知书是合同的组成部分。</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27.4</w:t>
      </w:r>
      <w:r>
        <w:rPr>
          <w:rFonts w:hint="eastAsia" w:ascii="Times New Roman" w:hAnsi="Times New Roman"/>
          <w:color w:val="000000"/>
          <w:sz w:val="24"/>
          <w:szCs w:val="24"/>
          <w:highlight w:val="none"/>
        </w:rPr>
        <w:t>采购代理机构没有对未成交供应商解释未成交原因的义务。</w:t>
      </w:r>
    </w:p>
    <w:p>
      <w:pPr>
        <w:pageBreakBefore w:val="0"/>
        <w:numPr>
          <w:ilvl w:val="0"/>
          <w:numId w:val="1"/>
        </w:numPr>
        <w:kinsoku/>
        <w:topLinePunct w:val="0"/>
        <w:bidi w:val="0"/>
        <w:spacing w:line="360" w:lineRule="auto"/>
        <w:rPr>
          <w:rFonts w:hint="eastAsia"/>
          <w:b/>
          <w:color w:val="000000"/>
          <w:sz w:val="30"/>
          <w:szCs w:val="30"/>
          <w:highlight w:val="none"/>
        </w:rPr>
      </w:pPr>
      <w:r>
        <w:rPr>
          <w:rFonts w:hint="eastAsia"/>
          <w:b/>
          <w:color w:val="000000"/>
          <w:sz w:val="30"/>
          <w:szCs w:val="30"/>
          <w:highlight w:val="none"/>
        </w:rPr>
        <w:t>签订合同</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28.1</w:t>
      </w:r>
      <w:r>
        <w:rPr>
          <w:rFonts w:hint="eastAsia" w:ascii="Times New Roman" w:hAnsi="Times New Roman"/>
          <w:color w:val="000000"/>
          <w:sz w:val="24"/>
          <w:szCs w:val="24"/>
          <w:highlight w:val="none"/>
        </w:rPr>
        <w:t>采购人和成交供应商应当按照成交通知书规定的期限与成交供应商签订合同。成交通知书规定的期限最长不得超过30天。</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28.2</w:t>
      </w:r>
      <w:r>
        <w:rPr>
          <w:rFonts w:hint="eastAsia" w:ascii="Times New Roman" w:hAnsi="Times New Roman"/>
          <w:color w:val="000000"/>
          <w:sz w:val="24"/>
          <w:szCs w:val="24"/>
          <w:highlight w:val="none"/>
        </w:rPr>
        <w:t>成交供应商拒签合同，或不能在规定的期限内与采购人签订合同，采购人有权取消其成交资格，其磋商保证金不予退还。</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28.3</w:t>
      </w:r>
      <w:r>
        <w:rPr>
          <w:rFonts w:hint="eastAsia" w:ascii="Times New Roman" w:hAnsi="Times New Roman"/>
          <w:color w:val="000000"/>
          <w:sz w:val="24"/>
          <w:szCs w:val="24"/>
          <w:highlight w:val="none"/>
        </w:rPr>
        <w:t>成交供应商放弃成交，其磋商保证金不予退还。</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28.4</w:t>
      </w:r>
      <w:r>
        <w:rPr>
          <w:rFonts w:hint="eastAsia" w:ascii="Times New Roman" w:hAnsi="Times New Roman"/>
          <w:color w:val="000000"/>
          <w:sz w:val="24"/>
          <w:szCs w:val="24"/>
          <w:highlight w:val="none"/>
        </w:rPr>
        <w:t>成交供应商放弃成交或被取消成交资格后，采购人有权按磋商小组推荐的顺序确定备选成交候选人成交并与之签订合同。所有被确定成交的候选供应商均放弃成交或被取消成交资格，采购人应当重新组织采购。放弃或被取消成交资格的供应商不得参与重新采购。</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28.5</w:t>
      </w:r>
      <w:r>
        <w:rPr>
          <w:rFonts w:hint="eastAsia" w:ascii="Times New Roman" w:hAnsi="Times New Roman"/>
          <w:color w:val="000000"/>
          <w:sz w:val="24"/>
          <w:szCs w:val="24"/>
          <w:highlight w:val="none"/>
        </w:rPr>
        <w:t>成交供应商拒签合同或放弃成交是违约行为，应当依法赔偿违约行为给采购人造成的实际损失。</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28.6</w:t>
      </w:r>
      <w:r>
        <w:rPr>
          <w:rFonts w:hint="eastAsia" w:ascii="Times New Roman" w:hAnsi="Times New Roman"/>
          <w:color w:val="000000"/>
          <w:sz w:val="24"/>
          <w:szCs w:val="24"/>
          <w:highlight w:val="none"/>
        </w:rPr>
        <w:t>前款所称“违约行为给采购人造成的实际损失”，是指顺延成交供应商的成交价格高于违约人成交价格的高出部分。</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28.7</w:t>
      </w:r>
      <w:r>
        <w:rPr>
          <w:rFonts w:hint="eastAsia" w:ascii="Times New Roman" w:hAnsi="Times New Roman"/>
          <w:color w:val="000000"/>
          <w:sz w:val="24"/>
          <w:szCs w:val="24"/>
          <w:highlight w:val="none"/>
        </w:rPr>
        <w:t>签订合同及合同条款应以磋商文件和成交供应商的响应文件为依据。</w:t>
      </w:r>
    </w:p>
    <w:p>
      <w:pPr>
        <w:pageBreakBefore w:val="0"/>
        <w:numPr>
          <w:ilvl w:val="0"/>
          <w:numId w:val="1"/>
        </w:numPr>
        <w:kinsoku/>
        <w:topLinePunct w:val="0"/>
        <w:bidi w:val="0"/>
        <w:spacing w:line="360" w:lineRule="auto"/>
        <w:rPr>
          <w:rFonts w:hint="eastAsia"/>
          <w:b/>
          <w:color w:val="000000"/>
          <w:sz w:val="30"/>
          <w:szCs w:val="30"/>
          <w:highlight w:val="none"/>
        </w:rPr>
      </w:pPr>
      <w:r>
        <w:rPr>
          <w:rFonts w:hint="eastAsia"/>
          <w:b/>
          <w:color w:val="000000"/>
          <w:sz w:val="30"/>
          <w:szCs w:val="30"/>
          <w:highlight w:val="none"/>
        </w:rPr>
        <w:t>验收</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29.1</w:t>
      </w:r>
      <w:r>
        <w:rPr>
          <w:rFonts w:hint="eastAsia" w:ascii="Times New Roman" w:hAnsi="Times New Roman"/>
          <w:color w:val="000000"/>
          <w:sz w:val="24"/>
          <w:szCs w:val="24"/>
          <w:highlight w:val="none"/>
        </w:rPr>
        <w:t>成交供应商与采购人应严格按照磋商文件规定的标准和响应文件承诺的条件进行验收。</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29.2</w:t>
      </w:r>
      <w:r>
        <w:rPr>
          <w:rFonts w:hint="eastAsia" w:ascii="Times New Roman" w:hAnsi="Times New Roman"/>
          <w:color w:val="000000"/>
          <w:sz w:val="24"/>
          <w:szCs w:val="24"/>
          <w:highlight w:val="none"/>
        </w:rPr>
        <w:t>采购人可以独立邀请第三方参与验收。验收出现争议时，成交供应商可以与采购人协商共同邀请第三方参与验收。</w:t>
      </w:r>
    </w:p>
    <w:p>
      <w:pPr>
        <w:pageBreakBefore w:val="0"/>
        <w:numPr>
          <w:ilvl w:val="0"/>
          <w:numId w:val="1"/>
        </w:numPr>
        <w:kinsoku/>
        <w:topLinePunct w:val="0"/>
        <w:bidi w:val="0"/>
        <w:spacing w:line="360" w:lineRule="auto"/>
        <w:rPr>
          <w:rFonts w:hint="eastAsia"/>
          <w:b/>
          <w:color w:val="000000"/>
          <w:sz w:val="30"/>
          <w:szCs w:val="30"/>
          <w:highlight w:val="none"/>
        </w:rPr>
      </w:pPr>
      <w:r>
        <w:rPr>
          <w:rFonts w:hint="eastAsia"/>
          <w:b/>
          <w:color w:val="000000"/>
          <w:sz w:val="30"/>
          <w:szCs w:val="30"/>
          <w:highlight w:val="none"/>
        </w:rPr>
        <w:t>招标代理服务费</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30.1</w:t>
      </w:r>
      <w:r>
        <w:rPr>
          <w:rFonts w:hint="eastAsia" w:ascii="Times New Roman" w:hAnsi="Times New Roman"/>
          <w:color w:val="000000"/>
          <w:sz w:val="24"/>
          <w:szCs w:val="24"/>
          <w:highlight w:val="none"/>
        </w:rPr>
        <w:t>以采购预算为计费基数，参照</w:t>
      </w:r>
      <w:r>
        <w:rPr>
          <w:rFonts w:hint="eastAsia" w:ascii="Times New Roman" w:hAnsi="Times New Roman"/>
          <w:color w:val="000000"/>
          <w:sz w:val="24"/>
          <w:szCs w:val="24"/>
          <w:highlight w:val="none"/>
          <w:lang w:eastAsia="zh-CN"/>
        </w:rPr>
        <w:t>琼价费管</w:t>
      </w:r>
      <w:r>
        <w:rPr>
          <w:rFonts w:hint="eastAsia" w:ascii="Times New Roman" w:hAnsi="Times New Roman"/>
          <w:color w:val="000000"/>
          <w:sz w:val="24"/>
          <w:szCs w:val="24"/>
          <w:highlight w:val="none"/>
        </w:rPr>
        <w:t>[20</w:t>
      </w:r>
      <w:r>
        <w:rPr>
          <w:rFonts w:hint="eastAsia" w:ascii="Times New Roman" w:hAnsi="Times New Roman"/>
          <w:color w:val="000000"/>
          <w:sz w:val="24"/>
          <w:szCs w:val="24"/>
          <w:highlight w:val="none"/>
          <w:lang w:val="en-US" w:eastAsia="zh-CN"/>
        </w:rPr>
        <w:t>11</w:t>
      </w:r>
      <w:r>
        <w:rPr>
          <w:rFonts w:hint="eastAsia" w:ascii="Times New Roman" w:hAnsi="Times New Roman"/>
          <w:color w:val="000000"/>
          <w:sz w:val="24"/>
          <w:szCs w:val="24"/>
          <w:highlight w:val="none"/>
        </w:rPr>
        <w:t>]</w:t>
      </w:r>
      <w:r>
        <w:rPr>
          <w:rFonts w:hint="eastAsia" w:ascii="Times New Roman" w:hAnsi="Times New Roman"/>
          <w:color w:val="000000"/>
          <w:sz w:val="24"/>
          <w:szCs w:val="24"/>
          <w:highlight w:val="none"/>
          <w:lang w:val="en-US" w:eastAsia="zh-CN"/>
        </w:rPr>
        <w:t>225</w:t>
      </w:r>
      <w:r>
        <w:rPr>
          <w:rFonts w:hint="eastAsia" w:ascii="Times New Roman" w:hAnsi="Times New Roman"/>
          <w:color w:val="000000"/>
          <w:sz w:val="24"/>
          <w:szCs w:val="24"/>
          <w:highlight w:val="none"/>
        </w:rPr>
        <w:t>号文件规定的采购代理服务收费标准，由采购代理机构在招标工作结束后向甲方一次性收取招标代理服务费。</w:t>
      </w:r>
    </w:p>
    <w:p>
      <w:pPr>
        <w:pageBreakBefore w:val="0"/>
        <w:numPr>
          <w:ilvl w:val="0"/>
          <w:numId w:val="3"/>
        </w:numPr>
        <w:tabs>
          <w:tab w:val="left" w:pos="540"/>
          <w:tab w:val="left" w:pos="720"/>
          <w:tab w:val="clear" w:pos="960"/>
        </w:tabs>
        <w:kinsoku/>
        <w:topLinePunct w:val="0"/>
        <w:bidi w:val="0"/>
        <w:spacing w:before="100" w:beforeAutospacing="1" w:after="100" w:afterAutospacing="1" w:line="360" w:lineRule="auto"/>
        <w:ind w:left="720" w:hanging="720"/>
        <w:outlineLvl w:val="9"/>
        <w:rPr>
          <w:rFonts w:hint="eastAsia"/>
          <w:b/>
          <w:color w:val="000000"/>
          <w:sz w:val="32"/>
          <w:szCs w:val="32"/>
          <w:highlight w:val="none"/>
        </w:rPr>
      </w:pPr>
      <w:bookmarkStart w:id="18" w:name="_Toc12275"/>
      <w:bookmarkStart w:id="19" w:name="_Toc317237605"/>
      <w:bookmarkStart w:id="20" w:name="_Toc317237780"/>
      <w:r>
        <w:rPr>
          <w:rFonts w:hint="eastAsia"/>
          <w:b/>
          <w:color w:val="000000"/>
          <w:sz w:val="32"/>
          <w:szCs w:val="32"/>
          <w:highlight w:val="none"/>
        </w:rPr>
        <w:t>询问、质疑和投诉</w:t>
      </w:r>
      <w:bookmarkEnd w:id="18"/>
      <w:bookmarkEnd w:id="19"/>
      <w:bookmarkEnd w:id="20"/>
    </w:p>
    <w:p>
      <w:pPr>
        <w:pageBreakBefore w:val="0"/>
        <w:numPr>
          <w:ilvl w:val="0"/>
          <w:numId w:val="1"/>
        </w:numPr>
        <w:kinsoku/>
        <w:topLinePunct w:val="0"/>
        <w:bidi w:val="0"/>
        <w:spacing w:line="360" w:lineRule="auto"/>
        <w:rPr>
          <w:rFonts w:hint="eastAsia"/>
          <w:b/>
          <w:color w:val="000000"/>
          <w:sz w:val="30"/>
          <w:szCs w:val="30"/>
          <w:highlight w:val="none"/>
        </w:rPr>
      </w:pPr>
      <w:r>
        <w:rPr>
          <w:rFonts w:hint="eastAsia"/>
          <w:b/>
          <w:color w:val="000000"/>
          <w:sz w:val="30"/>
          <w:szCs w:val="30"/>
          <w:highlight w:val="none"/>
        </w:rPr>
        <w:t>询问</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31.1</w:t>
      </w:r>
      <w:r>
        <w:rPr>
          <w:rFonts w:hint="eastAsia" w:ascii="Times New Roman" w:hAnsi="Times New Roman"/>
          <w:color w:val="000000"/>
          <w:sz w:val="24"/>
          <w:szCs w:val="24"/>
          <w:highlight w:val="none"/>
        </w:rPr>
        <w:t>供应商对本采购活动事项有疑问的，应当以书面形式向采购人或采购代理机构提出询问。</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31.2</w:t>
      </w:r>
      <w:r>
        <w:rPr>
          <w:rFonts w:hint="eastAsia" w:ascii="Times New Roman" w:hAnsi="Times New Roman"/>
          <w:color w:val="000000"/>
          <w:sz w:val="24"/>
          <w:szCs w:val="24"/>
          <w:highlight w:val="none"/>
        </w:rPr>
        <w:t>询问应当用传真、信函、电子邮件等方式提出。</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highlight w:val="none"/>
        </w:rPr>
      </w:pPr>
      <w:r>
        <w:rPr>
          <w:rFonts w:hint="eastAsia" w:ascii="Times New Roman" w:hAnsi="Times New Roman"/>
          <w:color w:val="000000"/>
          <w:sz w:val="24"/>
          <w:szCs w:val="24"/>
          <w:highlight w:val="none"/>
          <w:lang w:val="en-US" w:eastAsia="zh-CN"/>
        </w:rPr>
        <w:t>31.3</w:t>
      </w:r>
      <w:r>
        <w:rPr>
          <w:rFonts w:hint="eastAsia" w:ascii="Times New Roman" w:hAnsi="Times New Roman"/>
          <w:color w:val="000000"/>
          <w:sz w:val="24"/>
          <w:szCs w:val="24"/>
          <w:highlight w:val="none"/>
        </w:rPr>
        <w:t>对询问的答复，将依据是否是重要的共性问题，决定是否同时告知其他供应商。</w:t>
      </w:r>
    </w:p>
    <w:p>
      <w:pPr>
        <w:pageBreakBefore w:val="0"/>
        <w:numPr>
          <w:ilvl w:val="0"/>
          <w:numId w:val="1"/>
        </w:numPr>
        <w:kinsoku/>
        <w:topLinePunct w:val="0"/>
        <w:bidi w:val="0"/>
        <w:spacing w:line="360" w:lineRule="auto"/>
        <w:rPr>
          <w:rFonts w:hint="eastAsia"/>
          <w:b/>
          <w:color w:val="000000"/>
          <w:sz w:val="30"/>
          <w:szCs w:val="30"/>
          <w:highlight w:val="none"/>
        </w:rPr>
      </w:pPr>
      <w:r>
        <w:rPr>
          <w:rFonts w:hint="eastAsia"/>
          <w:b/>
          <w:color w:val="000000"/>
          <w:sz w:val="30"/>
          <w:szCs w:val="30"/>
          <w:highlight w:val="none"/>
        </w:rPr>
        <w:t>质疑</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32.1</w:t>
      </w:r>
      <w:r>
        <w:rPr>
          <w:rFonts w:hint="eastAsia" w:ascii="Times New Roman" w:hAnsi="Times New Roman"/>
          <w:color w:val="000000"/>
          <w:sz w:val="24"/>
          <w:szCs w:val="24"/>
          <w:highlight w:val="none"/>
        </w:rPr>
        <w:t>供应商认为采购文件、采购过程和成交结果使自己的权益受到损害的，可以在知道或者应知其权益受到损害之日起七个工作日内，以书面形式向本代理机构或向采购人提出质疑。</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32.2</w:t>
      </w:r>
      <w:r>
        <w:rPr>
          <w:rFonts w:hint="eastAsia" w:ascii="Times New Roman" w:hAnsi="Times New Roman"/>
          <w:color w:val="000000"/>
          <w:sz w:val="24"/>
          <w:szCs w:val="24"/>
          <w:highlight w:val="none"/>
        </w:rPr>
        <w:t>质疑必须以书面形式提出。质疑函应当包括但不限于下列内容：供应商的名称、地址、邮编、联系人及联系电话；质疑项目的名称、编号；质疑事项；事实依据和证明材料；法律依据；提出质疑的日期。质疑函必须由提出质疑的供应商的法定代表人亲笔签署，并加盖企业法人公章。</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32.3</w:t>
      </w:r>
      <w:r>
        <w:rPr>
          <w:rFonts w:hint="eastAsia" w:ascii="Times New Roman" w:hAnsi="Times New Roman"/>
          <w:color w:val="000000"/>
          <w:sz w:val="24"/>
          <w:szCs w:val="24"/>
          <w:highlight w:val="none"/>
        </w:rPr>
        <w:t>质疑应当用传真、信函或电子邮件送达。信函的邮发地必须是供应商的注册地；发出传真的号码和发出邮件的邮箱必须是供应商以网站或其他形式公布的号码及邮箱。</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32.4</w:t>
      </w:r>
      <w:r>
        <w:rPr>
          <w:rFonts w:hint="eastAsia" w:ascii="Times New Roman" w:hAnsi="Times New Roman"/>
          <w:color w:val="000000"/>
          <w:sz w:val="24"/>
          <w:szCs w:val="24"/>
          <w:highlight w:val="none"/>
        </w:rPr>
        <w:t>不符合本章第32.1、32.2和32.3款规定的质疑是无效质疑，不予受理。</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32.5</w:t>
      </w:r>
      <w:r>
        <w:rPr>
          <w:rFonts w:hint="eastAsia" w:ascii="Times New Roman" w:hAnsi="Times New Roman"/>
          <w:color w:val="000000"/>
          <w:sz w:val="24"/>
          <w:szCs w:val="24"/>
          <w:highlight w:val="none"/>
        </w:rPr>
        <w:t>对于供应商的有效质疑，我们将按照《中华人共和国政府采购法》、《政府采购货物和服务招标投标管理办法》和《海南省实施〈中华人民共和国政府采购法〉办法》的规定及时予以答复。</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32.6</w:t>
      </w:r>
      <w:r>
        <w:rPr>
          <w:rFonts w:hint="eastAsia" w:ascii="Times New Roman" w:hAnsi="Times New Roman"/>
          <w:color w:val="000000"/>
          <w:sz w:val="24"/>
          <w:szCs w:val="24"/>
          <w:highlight w:val="none"/>
        </w:rPr>
        <w:t>供应商应当慎重使用质疑的权利。属于对政府采购活动事项产生一般疑问的，应当根据政府采购法第52条的规定提出询问，本代理机构有义务及时作出答复。</w:t>
      </w:r>
    </w:p>
    <w:p>
      <w:pPr>
        <w:pageBreakBefore w:val="0"/>
        <w:numPr>
          <w:ilvl w:val="0"/>
          <w:numId w:val="1"/>
        </w:numPr>
        <w:kinsoku/>
        <w:topLinePunct w:val="0"/>
        <w:bidi w:val="0"/>
        <w:spacing w:line="360" w:lineRule="auto"/>
        <w:rPr>
          <w:rFonts w:hint="eastAsia"/>
          <w:b/>
          <w:color w:val="000000"/>
          <w:sz w:val="30"/>
          <w:szCs w:val="30"/>
          <w:highlight w:val="none"/>
        </w:rPr>
      </w:pPr>
      <w:r>
        <w:rPr>
          <w:rFonts w:hint="eastAsia"/>
          <w:b/>
          <w:color w:val="000000"/>
          <w:sz w:val="30"/>
          <w:szCs w:val="30"/>
          <w:highlight w:val="none"/>
        </w:rPr>
        <w:t>投诉</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33.1</w:t>
      </w:r>
      <w:r>
        <w:rPr>
          <w:rFonts w:hint="eastAsia" w:ascii="Times New Roman" w:hAnsi="Times New Roman"/>
          <w:color w:val="000000"/>
          <w:sz w:val="24"/>
          <w:szCs w:val="24"/>
          <w:highlight w:val="none"/>
        </w:rPr>
        <w:t>供应商对质疑事项的答复不满意，或者没有在法定期限内得到答复的，可以依法向政府采购监管部门进行投诉。</w:t>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33.2</w:t>
      </w:r>
      <w:r>
        <w:rPr>
          <w:rFonts w:hint="eastAsia" w:ascii="Times New Roman" w:hAnsi="Times New Roman"/>
          <w:color w:val="000000"/>
          <w:sz w:val="24"/>
          <w:szCs w:val="24"/>
          <w:highlight w:val="none"/>
        </w:rPr>
        <w:t>供应商的投诉，应当符合《中华人共和国政府采购法》、《政府采购供应商投诉处理办法》、《财政部关于加强政府采购供应商投诉受理审查工作的通知》的相关规定。</w:t>
      </w:r>
    </w:p>
    <w:p>
      <w:pPr>
        <w:pageBreakBefore w:val="0"/>
        <w:numPr>
          <w:ilvl w:val="0"/>
          <w:numId w:val="3"/>
        </w:numPr>
        <w:tabs>
          <w:tab w:val="left" w:pos="540"/>
          <w:tab w:val="left" w:pos="720"/>
          <w:tab w:val="clear" w:pos="960"/>
        </w:tabs>
        <w:kinsoku/>
        <w:topLinePunct w:val="0"/>
        <w:bidi w:val="0"/>
        <w:spacing w:before="100" w:beforeAutospacing="1" w:after="100" w:afterAutospacing="1" w:line="360" w:lineRule="auto"/>
        <w:ind w:left="720" w:hanging="720"/>
        <w:outlineLvl w:val="9"/>
        <w:rPr>
          <w:rFonts w:hint="eastAsia"/>
          <w:b/>
          <w:color w:val="000000"/>
          <w:sz w:val="32"/>
          <w:szCs w:val="32"/>
          <w:highlight w:val="none"/>
        </w:rPr>
      </w:pPr>
      <w:bookmarkStart w:id="21" w:name="_Toc317237781"/>
      <w:bookmarkStart w:id="22" w:name="_Toc28515"/>
      <w:bookmarkStart w:id="23" w:name="_Toc317237606"/>
      <w:r>
        <w:rPr>
          <w:rFonts w:hint="eastAsia"/>
          <w:b/>
          <w:color w:val="000000"/>
          <w:sz w:val="32"/>
          <w:szCs w:val="32"/>
          <w:highlight w:val="none"/>
        </w:rPr>
        <w:t>纪律和监督</w:t>
      </w:r>
      <w:bookmarkEnd w:id="21"/>
      <w:bookmarkEnd w:id="22"/>
      <w:bookmarkEnd w:id="23"/>
    </w:p>
    <w:p>
      <w:pPr>
        <w:pageBreakBefore w:val="0"/>
        <w:numPr>
          <w:ilvl w:val="0"/>
          <w:numId w:val="1"/>
        </w:numPr>
        <w:kinsoku/>
        <w:topLinePunct w:val="0"/>
        <w:bidi w:val="0"/>
        <w:spacing w:line="360" w:lineRule="auto"/>
        <w:rPr>
          <w:b/>
          <w:color w:val="000000"/>
          <w:sz w:val="30"/>
          <w:szCs w:val="30"/>
          <w:highlight w:val="none"/>
        </w:rPr>
      </w:pPr>
      <w:r>
        <w:rPr>
          <w:rFonts w:hint="eastAsia"/>
          <w:b/>
          <w:color w:val="000000"/>
          <w:sz w:val="30"/>
          <w:szCs w:val="30"/>
          <w:highlight w:val="none"/>
        </w:rPr>
        <w:t>对采购人的纪律要求</w:t>
      </w:r>
    </w:p>
    <w:p>
      <w:pPr>
        <w:keepNext w:val="0"/>
        <w:keepLines w:val="0"/>
        <w:pageBreakBefore w:val="0"/>
        <w:widowControl w:val="0"/>
        <w:numPr>
          <w:ilvl w:val="0"/>
          <w:numId w:val="0"/>
        </w:numPr>
        <w:tabs>
          <w:tab w:val="left" w:pos="992"/>
          <w:tab w:val="left" w:pos="1050"/>
        </w:tabs>
        <w:kinsoku/>
        <w:wordWrap/>
        <w:overflowPunct/>
        <w:topLinePunct w:val="0"/>
        <w:autoSpaceDE/>
        <w:autoSpaceDN/>
        <w:bidi w:val="0"/>
        <w:adjustRightInd/>
        <w:snapToGrid/>
        <w:spacing w:line="360" w:lineRule="auto"/>
        <w:ind w:firstLine="480" w:firstLineChars="200"/>
        <w:textAlignment w:val="auto"/>
        <w:outlineLvl w:val="9"/>
        <w:rPr>
          <w:rFonts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34.1</w:t>
      </w:r>
      <w:r>
        <w:rPr>
          <w:rFonts w:hint="eastAsia" w:ascii="Times New Roman" w:hAnsi="Times New Roman"/>
          <w:color w:val="000000"/>
          <w:sz w:val="24"/>
          <w:szCs w:val="24"/>
          <w:highlight w:val="none"/>
        </w:rPr>
        <w:t>采购人不得泄漏磋商采购活动中应当保密的情况和资料，不得与供应商串通损害国家利益、社会公共利益或他人的合法权益。</w:t>
      </w:r>
    </w:p>
    <w:p>
      <w:pPr>
        <w:pageBreakBefore w:val="0"/>
        <w:numPr>
          <w:ilvl w:val="0"/>
          <w:numId w:val="1"/>
        </w:numPr>
        <w:kinsoku/>
        <w:topLinePunct w:val="0"/>
        <w:bidi w:val="0"/>
        <w:spacing w:line="360" w:lineRule="auto"/>
        <w:rPr>
          <w:b/>
          <w:color w:val="000000"/>
          <w:sz w:val="30"/>
          <w:szCs w:val="30"/>
          <w:highlight w:val="none"/>
        </w:rPr>
      </w:pPr>
      <w:r>
        <w:rPr>
          <w:rFonts w:hint="eastAsia"/>
          <w:b/>
          <w:color w:val="000000"/>
          <w:sz w:val="30"/>
          <w:szCs w:val="30"/>
          <w:highlight w:val="none"/>
        </w:rPr>
        <w:t>对供应商的纪律要求</w:t>
      </w:r>
    </w:p>
    <w:p>
      <w:pPr>
        <w:keepNext w:val="0"/>
        <w:keepLines w:val="0"/>
        <w:pageBreakBefore w:val="0"/>
        <w:widowControl w:val="0"/>
        <w:numPr>
          <w:ilvl w:val="0"/>
          <w:numId w:val="0"/>
        </w:numPr>
        <w:tabs>
          <w:tab w:val="left" w:pos="992"/>
          <w:tab w:val="left" w:pos="1050"/>
        </w:tabs>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35.1</w:t>
      </w:r>
      <w:r>
        <w:rPr>
          <w:rFonts w:hint="eastAsia" w:ascii="Times New Roman" w:hAnsi="Times New Roman"/>
          <w:color w:val="000000"/>
          <w:sz w:val="24"/>
          <w:szCs w:val="24"/>
          <w:highlight w:val="none"/>
        </w:rPr>
        <w:t>不得提供虚假材料谋取成交；不得采取不正当手段诋毁、排挤其他供应商；不得与采购人、采购代理机构、其他供应商恶意串通；不得向采购人、采购代理机构、磋商小组成员行贿或者提供其他不正当利益；不得拒不遵守磋商纪律，故意扰乱磋商会场秩序或其他无理取闹行为；不得在采购过程中与采购人、采购代理机构进行协商</w:t>
      </w:r>
      <w:r>
        <w:rPr>
          <w:rFonts w:hint="eastAsia" w:ascii="Times New Roman" w:hAnsi="Times New Roman"/>
          <w:color w:val="000000"/>
          <w:sz w:val="24"/>
          <w:szCs w:val="24"/>
          <w:highlight w:val="none"/>
          <w:lang w:eastAsia="zh-CN"/>
        </w:rPr>
        <w:t>磋商</w:t>
      </w:r>
      <w:r>
        <w:rPr>
          <w:rFonts w:hint="eastAsia" w:ascii="Times New Roman" w:hAnsi="Times New Roman"/>
          <w:color w:val="000000"/>
          <w:sz w:val="24"/>
          <w:szCs w:val="24"/>
          <w:highlight w:val="none"/>
        </w:rPr>
        <w:t>；不得拒绝有关部门的监督检查或者向监督检查部门提供虚假情况。有上述情形之一的供应商，属于不合格供应商，其成交资格将被取消。</w:t>
      </w:r>
    </w:p>
    <w:p>
      <w:pPr>
        <w:pageBreakBefore w:val="0"/>
        <w:numPr>
          <w:ilvl w:val="0"/>
          <w:numId w:val="1"/>
        </w:numPr>
        <w:kinsoku/>
        <w:topLinePunct w:val="0"/>
        <w:bidi w:val="0"/>
        <w:spacing w:line="360" w:lineRule="auto"/>
        <w:rPr>
          <w:b/>
          <w:color w:val="000000"/>
          <w:sz w:val="30"/>
          <w:szCs w:val="30"/>
          <w:highlight w:val="none"/>
        </w:rPr>
      </w:pPr>
      <w:r>
        <w:rPr>
          <w:rFonts w:hint="eastAsia"/>
          <w:b/>
          <w:color w:val="000000"/>
          <w:sz w:val="30"/>
          <w:szCs w:val="30"/>
          <w:highlight w:val="none"/>
        </w:rPr>
        <w:t>对磋商小组成员的纪律要求</w:t>
      </w:r>
    </w:p>
    <w:p>
      <w:pPr>
        <w:keepNext w:val="0"/>
        <w:keepLines w:val="0"/>
        <w:pageBreakBefore w:val="0"/>
        <w:widowControl w:val="0"/>
        <w:numPr>
          <w:ilvl w:val="0"/>
          <w:numId w:val="0"/>
        </w:numPr>
        <w:tabs>
          <w:tab w:val="left" w:pos="992"/>
          <w:tab w:val="left" w:pos="1050"/>
        </w:tabs>
        <w:kinsoku/>
        <w:wordWrap/>
        <w:overflowPunct/>
        <w:topLinePunct w:val="0"/>
        <w:autoSpaceDE/>
        <w:autoSpaceDN/>
        <w:bidi w:val="0"/>
        <w:adjustRightInd/>
        <w:snapToGrid/>
        <w:spacing w:line="360" w:lineRule="auto"/>
        <w:ind w:firstLine="480" w:firstLineChars="200"/>
        <w:textAlignment w:val="auto"/>
        <w:outlineLvl w:val="9"/>
        <w:rPr>
          <w:rFonts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36.1</w:t>
      </w:r>
      <w:r>
        <w:rPr>
          <w:rFonts w:hint="eastAsia" w:ascii="Times New Roman" w:hAnsi="Times New Roman"/>
          <w:color w:val="000000"/>
          <w:sz w:val="24"/>
          <w:szCs w:val="24"/>
          <w:highlight w:val="none"/>
        </w:rPr>
        <w:t>磋商小组成员不得收受他人的财物或者其他好处，不得向他人透漏对响应文件的评审和比较、成交候选人的推荐情况以及磋商有关的其他情况。在磋商活动中，磋商小组成员不得擅离职守，影响磋商程序正常进行，不得使用本磋商文件第五部分规定之外的评审因素和标准进行评标。</w:t>
      </w:r>
    </w:p>
    <w:p>
      <w:pPr>
        <w:pageBreakBefore w:val="0"/>
        <w:numPr>
          <w:ilvl w:val="0"/>
          <w:numId w:val="1"/>
        </w:numPr>
        <w:kinsoku/>
        <w:topLinePunct w:val="0"/>
        <w:bidi w:val="0"/>
        <w:spacing w:line="360" w:lineRule="auto"/>
        <w:rPr>
          <w:b/>
          <w:color w:val="000000"/>
          <w:sz w:val="30"/>
          <w:szCs w:val="30"/>
          <w:highlight w:val="none"/>
        </w:rPr>
      </w:pPr>
      <w:r>
        <w:rPr>
          <w:rFonts w:hint="eastAsia"/>
          <w:b/>
          <w:color w:val="000000"/>
          <w:sz w:val="30"/>
          <w:szCs w:val="30"/>
          <w:highlight w:val="none"/>
        </w:rPr>
        <w:t>对与磋商活动有关的工作人员的纪律要求</w:t>
      </w:r>
    </w:p>
    <w:p>
      <w:pPr>
        <w:keepNext w:val="0"/>
        <w:keepLines w:val="0"/>
        <w:pageBreakBefore w:val="0"/>
        <w:widowControl w:val="0"/>
        <w:numPr>
          <w:ilvl w:val="0"/>
          <w:numId w:val="0"/>
        </w:numPr>
        <w:tabs>
          <w:tab w:val="left" w:pos="992"/>
          <w:tab w:val="left" w:pos="1050"/>
        </w:tabs>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lang w:val="en-US" w:eastAsia="zh-CN"/>
        </w:rPr>
        <w:t>37.1</w:t>
      </w:r>
      <w:r>
        <w:rPr>
          <w:rFonts w:hint="eastAsia" w:ascii="Times New Roman" w:hAnsi="Times New Roman"/>
          <w:color w:val="000000"/>
          <w:sz w:val="24"/>
          <w:szCs w:val="24"/>
          <w:highlight w:val="none"/>
        </w:rPr>
        <w:t>与磋商活动有关的工作人员不得收受他人的财物或者其他好处，不得向他人透漏对响应文件的评审和比较、成交候选人的推荐情况以及磋商有关的其他情况。在磋商活动中，与磋商活动有关的工作人员不得擅离职守，影响磋商程序正常进行。</w:t>
      </w:r>
    </w:p>
    <w:p>
      <w:pPr>
        <w:pageBreakBefore w:val="0"/>
        <w:kinsoku/>
        <w:topLinePunct w:val="0"/>
        <w:bidi w:val="0"/>
        <w:spacing w:line="360" w:lineRule="auto"/>
        <w:rPr>
          <w:rFonts w:hint="eastAsia"/>
          <w:color w:val="000000"/>
          <w:sz w:val="24"/>
          <w:highlight w:val="none"/>
        </w:rPr>
      </w:pPr>
    </w:p>
    <w:p>
      <w:pPr>
        <w:pageBreakBefore w:val="0"/>
        <w:kinsoku/>
        <w:topLinePunct w:val="0"/>
        <w:bidi w:val="0"/>
        <w:spacing w:line="360" w:lineRule="auto"/>
        <w:rPr>
          <w:rFonts w:hint="eastAsia"/>
          <w:color w:val="000000"/>
          <w:highlight w:val="none"/>
        </w:rPr>
      </w:pPr>
    </w:p>
    <w:p>
      <w:pPr>
        <w:pageBreakBefore w:val="0"/>
        <w:kinsoku/>
        <w:topLinePunct w:val="0"/>
        <w:bidi w:val="0"/>
        <w:spacing w:line="360" w:lineRule="auto"/>
        <w:rPr>
          <w:color w:val="000000"/>
          <w:sz w:val="24"/>
          <w:highlight w:val="none"/>
        </w:rPr>
        <w:sectPr>
          <w:footerReference r:id="rId6" w:type="first"/>
          <w:footerReference r:id="rId5" w:type="default"/>
          <w:pgSz w:w="11906" w:h="16838"/>
          <w:pgMar w:top="1247" w:right="1247" w:bottom="1134" w:left="1644" w:header="851" w:footer="850" w:gutter="0"/>
          <w:pgNumType w:fmt="decimal" w:start="1"/>
          <w:cols w:space="708" w:num="1"/>
          <w:titlePg/>
          <w:docGrid w:type="lines" w:linePitch="321" w:charSpace="0"/>
        </w:sectPr>
      </w:pPr>
    </w:p>
    <w:p>
      <w:pPr>
        <w:pageBreakBefore w:val="0"/>
        <w:numPr>
          <w:ilvl w:val="0"/>
          <w:numId w:val="4"/>
        </w:numPr>
        <w:kinsoku/>
        <w:topLinePunct w:val="0"/>
        <w:bidi w:val="0"/>
        <w:spacing w:line="360" w:lineRule="auto"/>
        <w:jc w:val="center"/>
        <w:rPr>
          <w:rFonts w:hint="eastAsia"/>
          <w:b/>
          <w:color w:val="000000"/>
          <w:sz w:val="48"/>
          <w:szCs w:val="48"/>
          <w:highlight w:val="none"/>
          <w:lang w:val="en-US" w:eastAsia="zh-CN"/>
        </w:rPr>
      </w:pPr>
      <w:bookmarkStart w:id="24" w:name="_Toc29353"/>
      <w:bookmarkStart w:id="25" w:name="_Toc317237621"/>
      <w:r>
        <w:rPr>
          <w:rFonts w:hint="eastAsia"/>
          <w:b/>
          <w:color w:val="000000"/>
          <w:sz w:val="48"/>
          <w:szCs w:val="48"/>
          <w:highlight w:val="none"/>
          <w:lang w:val="en-US" w:eastAsia="zh-CN"/>
        </w:rPr>
        <w:t xml:space="preserve"> 项目清单</w:t>
      </w:r>
      <w:bookmarkEnd w:id="24"/>
    </w:p>
    <w:p>
      <w:pPr>
        <w:pStyle w:val="2"/>
        <w:pageBreakBefore w:val="0"/>
        <w:numPr>
          <w:ilvl w:val="0"/>
          <w:numId w:val="0"/>
        </w:numPr>
        <w:kinsoku/>
        <w:topLinePunct w:val="0"/>
        <w:bidi w:val="0"/>
        <w:spacing w:line="360" w:lineRule="auto"/>
        <w:rPr>
          <w:rFonts w:hint="eastAsia"/>
          <w:color w:val="000000"/>
          <w:lang w:eastAsia="zh-CN"/>
        </w:rPr>
      </w:pPr>
    </w:p>
    <w:p>
      <w:pPr>
        <w:pageBreakBefore w:val="0"/>
        <w:kinsoku/>
        <w:topLinePunct w:val="0"/>
        <w:bidi w:val="0"/>
        <w:spacing w:line="360" w:lineRule="auto"/>
        <w:jc w:val="center"/>
        <w:outlineLvl w:val="0"/>
        <w:rPr>
          <w:rFonts w:hint="eastAsia"/>
          <w:b/>
          <w:color w:val="000000"/>
          <w:sz w:val="48"/>
          <w:szCs w:val="48"/>
          <w:highlight w:val="none"/>
        </w:rPr>
      </w:pPr>
      <w:bookmarkStart w:id="26" w:name="_Toc18512"/>
      <w:r>
        <w:rPr>
          <w:rFonts w:hint="eastAsia"/>
          <w:b/>
          <w:color w:val="000000"/>
          <w:sz w:val="48"/>
          <w:szCs w:val="48"/>
          <w:highlight w:val="none"/>
          <w:lang w:val="en-US" w:eastAsia="zh-CN"/>
        </w:rPr>
        <w:t>另附</w:t>
      </w:r>
      <w:r>
        <w:rPr>
          <w:rFonts w:hint="eastAsia"/>
          <w:b/>
          <w:color w:val="000000"/>
          <w:sz w:val="48"/>
          <w:szCs w:val="48"/>
          <w:highlight w:val="none"/>
        </w:rPr>
        <w:br w:type="page"/>
      </w:r>
      <w:r>
        <w:rPr>
          <w:rFonts w:hint="eastAsia"/>
          <w:b/>
          <w:color w:val="000000"/>
          <w:sz w:val="48"/>
          <w:szCs w:val="48"/>
          <w:highlight w:val="none"/>
        </w:rPr>
        <w:t xml:space="preserve">第四部分  </w:t>
      </w:r>
      <w:bookmarkEnd w:id="25"/>
      <w:r>
        <w:rPr>
          <w:rFonts w:hint="eastAsia"/>
          <w:b/>
          <w:color w:val="000000"/>
          <w:sz w:val="48"/>
          <w:szCs w:val="48"/>
          <w:highlight w:val="none"/>
        </w:rPr>
        <w:t>合同条款及格式（参考）</w:t>
      </w:r>
      <w:bookmarkEnd w:id="26"/>
    </w:p>
    <w:p>
      <w:pPr>
        <w:pageBreakBefore w:val="0"/>
        <w:kinsoku/>
        <w:topLinePunct w:val="0"/>
        <w:bidi w:val="0"/>
        <w:spacing w:line="360" w:lineRule="auto"/>
        <w:rPr>
          <w:color w:val="000000"/>
          <w:sz w:val="24"/>
          <w:highlight w:val="none"/>
        </w:rPr>
      </w:pPr>
    </w:p>
    <w:p>
      <w:pPr>
        <w:pageBreakBefore w:val="0"/>
        <w:kinsoku/>
        <w:topLinePunct w:val="0"/>
        <w:bidi w:val="0"/>
        <w:spacing w:line="360" w:lineRule="auto"/>
        <w:jc w:val="center"/>
        <w:rPr>
          <w:rFonts w:hint="eastAsia" w:ascii="宋体" w:hAnsi="宋体"/>
          <w:b/>
          <w:color w:val="000000"/>
          <w:sz w:val="32"/>
          <w:szCs w:val="32"/>
          <w:highlight w:val="none"/>
        </w:rPr>
      </w:pPr>
      <w:bookmarkStart w:id="27" w:name="_Toc296503025"/>
      <w:bookmarkStart w:id="28" w:name="_Toc296890982"/>
      <w:bookmarkStart w:id="29" w:name="_Toc351203480"/>
      <w:r>
        <w:rPr>
          <w:rFonts w:hint="eastAsia" w:ascii="宋体" w:hAnsi="宋体"/>
          <w:b/>
          <w:color w:val="000000"/>
          <w:sz w:val="32"/>
          <w:szCs w:val="32"/>
          <w:highlight w:val="none"/>
        </w:rPr>
        <w:t>第一部分 合同协议书</w:t>
      </w:r>
      <w:bookmarkEnd w:id="27"/>
      <w:bookmarkEnd w:id="28"/>
      <w:bookmarkEnd w:id="29"/>
    </w:p>
    <w:p>
      <w:pPr>
        <w:pageBreakBefore w:val="0"/>
        <w:kinsoku/>
        <w:topLinePunct w:val="0"/>
        <w:bidi w:val="0"/>
        <w:spacing w:line="360" w:lineRule="auto"/>
        <w:rPr>
          <w:rFonts w:hint="eastAsia" w:ascii="仿宋_GB2312" w:eastAsia="仿宋_GB2312"/>
          <w:color w:val="000000"/>
          <w:sz w:val="30"/>
          <w:szCs w:val="30"/>
          <w:highlight w:val="none"/>
        </w:rPr>
      </w:pPr>
    </w:p>
    <w:p>
      <w:pPr>
        <w:pageBreakBefore w:val="0"/>
        <w:kinsoku/>
        <w:topLinePunct w:val="0"/>
        <w:bidi w:val="0"/>
        <w:spacing w:line="360" w:lineRule="auto"/>
        <w:ind w:firstLine="551" w:firstLineChars="196"/>
        <w:rPr>
          <w:rFonts w:hint="eastAsia" w:ascii="宋体" w:hAnsi="宋体"/>
          <w:b/>
          <w:color w:val="000000"/>
          <w:sz w:val="28"/>
          <w:szCs w:val="28"/>
          <w:highlight w:val="none"/>
          <w:u w:val="single"/>
        </w:rPr>
      </w:pPr>
      <w:r>
        <w:rPr>
          <w:rFonts w:hint="eastAsia" w:ascii="宋体" w:hAnsi="宋体"/>
          <w:b/>
          <w:color w:val="000000"/>
          <w:sz w:val="28"/>
          <w:szCs w:val="28"/>
          <w:highlight w:val="none"/>
        </w:rPr>
        <w:t>发包人（全称）：</w:t>
      </w:r>
      <w:r>
        <w:rPr>
          <w:rFonts w:hint="eastAsia" w:ascii="宋体" w:hAnsi="宋体"/>
          <w:b/>
          <w:color w:val="000000"/>
          <w:sz w:val="28"/>
          <w:szCs w:val="28"/>
          <w:highlight w:val="none"/>
          <w:u w:val="single"/>
        </w:rPr>
        <w:t xml:space="preserve">                               </w:t>
      </w:r>
    </w:p>
    <w:p>
      <w:pPr>
        <w:pageBreakBefore w:val="0"/>
        <w:kinsoku/>
        <w:topLinePunct w:val="0"/>
        <w:bidi w:val="0"/>
        <w:spacing w:after="160" w:afterLines="50" w:line="360" w:lineRule="auto"/>
        <w:ind w:firstLine="551" w:firstLineChars="196"/>
        <w:rPr>
          <w:rFonts w:hint="eastAsia" w:ascii="仿宋_GB2312" w:eastAsia="仿宋_GB2312"/>
          <w:b/>
          <w:color w:val="000000"/>
          <w:sz w:val="28"/>
          <w:szCs w:val="28"/>
          <w:highlight w:val="none"/>
        </w:rPr>
      </w:pPr>
      <w:r>
        <w:rPr>
          <w:rFonts w:hint="eastAsia" w:ascii="宋体" w:hAnsi="宋体"/>
          <w:b/>
          <w:color w:val="000000"/>
          <w:sz w:val="28"/>
          <w:szCs w:val="28"/>
          <w:highlight w:val="none"/>
        </w:rPr>
        <w:t>承包人（全称）：</w:t>
      </w:r>
      <w:r>
        <w:rPr>
          <w:rFonts w:hint="eastAsia" w:ascii="宋体" w:hAnsi="宋体"/>
          <w:b/>
          <w:color w:val="000000"/>
          <w:sz w:val="28"/>
          <w:szCs w:val="28"/>
          <w:highlight w:val="none"/>
          <w:u w:val="single"/>
        </w:rPr>
        <w:t xml:space="preserve">                               </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根据《中华人民共和国合同法》、《中华人民共和国建筑法》及有关法律规定，遵循平等、自愿、公平和诚实信用的原则，双方就</w:t>
      </w:r>
      <w:r>
        <w:rPr>
          <w:rFonts w:hint="eastAsia" w:ascii="宋体" w:hAnsi="宋体"/>
          <w:color w:val="000000"/>
          <w:sz w:val="24"/>
          <w:highlight w:val="none"/>
          <w:u w:val="single"/>
        </w:rPr>
        <w:t xml:space="preserve">  </w:t>
      </w:r>
      <w:r>
        <w:rPr>
          <w:rFonts w:hint="eastAsia" w:ascii="宋体" w:hAnsi="宋体"/>
          <w:b/>
          <w:color w:val="000000"/>
          <w:sz w:val="24"/>
          <w:highlight w:val="none"/>
          <w:u w:val="single"/>
        </w:rPr>
        <w:t xml:space="preserve">                  </w:t>
      </w:r>
      <w:r>
        <w:rPr>
          <w:rFonts w:hint="eastAsia" w:ascii="宋体" w:hAnsi="宋体"/>
          <w:color w:val="000000"/>
          <w:sz w:val="24"/>
          <w:highlight w:val="none"/>
        </w:rPr>
        <w:t>施工及有关事项协商一致，共同达成如下协议：</w:t>
      </w:r>
    </w:p>
    <w:p>
      <w:pPr>
        <w:pageBreakBefore w:val="0"/>
        <w:kinsoku/>
        <w:topLinePunct w:val="0"/>
        <w:bidi w:val="0"/>
        <w:spacing w:line="360" w:lineRule="auto"/>
        <w:ind w:firstLine="482" w:firstLineChars="200"/>
        <w:rPr>
          <w:rFonts w:hint="eastAsia" w:ascii="宋体" w:hAnsi="宋体"/>
          <w:b/>
          <w:color w:val="000000"/>
          <w:sz w:val="24"/>
          <w:highlight w:val="none"/>
        </w:rPr>
      </w:pPr>
      <w:bookmarkStart w:id="30" w:name="_Toc351203481"/>
      <w:r>
        <w:rPr>
          <w:rFonts w:hint="eastAsia" w:ascii="宋体" w:hAnsi="宋体"/>
          <w:b/>
          <w:color w:val="000000"/>
          <w:sz w:val="24"/>
          <w:highlight w:val="none"/>
        </w:rPr>
        <w:t>一、工程概况</w:t>
      </w:r>
      <w:bookmarkEnd w:id="30"/>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1.工程名称：</w:t>
      </w:r>
      <w:r>
        <w:rPr>
          <w:rFonts w:hint="eastAsia" w:ascii="宋体" w:hAnsi="宋体"/>
          <w:b/>
          <w:color w:val="000000"/>
          <w:sz w:val="24"/>
          <w:highlight w:val="none"/>
          <w:u w:val="single"/>
        </w:rPr>
        <w:t xml:space="preserve">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2.工程地点：</w:t>
      </w:r>
      <w:r>
        <w:rPr>
          <w:rFonts w:hint="eastAsia" w:ascii="宋体" w:hAnsi="宋体"/>
          <w:color w:val="000000"/>
          <w:sz w:val="24"/>
          <w:highlight w:val="none"/>
          <w:u w:val="single"/>
        </w:rPr>
        <w:t xml:space="preserve">  </w:t>
      </w:r>
      <w:r>
        <w:rPr>
          <w:rFonts w:hint="eastAsia" w:ascii="宋体" w:hAnsi="宋体"/>
          <w:b/>
          <w:color w:val="000000"/>
          <w:sz w:val="24"/>
          <w:highlight w:val="none"/>
          <w:u w:val="single"/>
        </w:rPr>
        <w:t xml:space="preserve">                 </w:t>
      </w:r>
      <w:r>
        <w:rPr>
          <w:rFonts w:hint="eastAsia" w:ascii="宋体" w:hAnsi="宋体"/>
          <w:color w:val="000000"/>
          <w:sz w:val="24"/>
          <w:highlight w:val="none"/>
          <w:u w:val="single"/>
        </w:rPr>
        <w:t xml:space="preserve">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3.工程立项批准文号：</w:t>
      </w:r>
      <w:r>
        <w:rPr>
          <w:rFonts w:hint="eastAsia" w:ascii="宋体" w:hAnsi="宋体" w:cs="宋体"/>
          <w:color w:val="000000"/>
          <w:sz w:val="24"/>
          <w:highlight w:val="none"/>
          <w:u w:val="single"/>
        </w:rPr>
        <w:t></w:t>
      </w:r>
      <w:r>
        <w:rPr>
          <w:rFonts w:hint="eastAsia" w:ascii="宋体" w:hAnsi="宋体"/>
          <w:b/>
          <w:color w:val="000000"/>
          <w:sz w:val="24"/>
          <w:highlight w:val="none"/>
          <w:u w:val="single"/>
        </w:rPr>
        <w:t xml:space="preserve">       </w:t>
      </w:r>
      <w:r>
        <w:rPr>
          <w:rFonts w:hint="eastAsia" w:ascii="宋体" w:hAnsi="宋体"/>
          <w:color w:val="000000"/>
          <w:sz w:val="24"/>
          <w:highlight w:val="none"/>
          <w:u w:val="single"/>
        </w:rPr>
        <w:t xml:space="preserve">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4.资金来源：</w:t>
      </w:r>
      <w:r>
        <w:rPr>
          <w:rFonts w:hint="eastAsia" w:ascii="宋体" w:hAnsi="宋体"/>
          <w:color w:val="000000"/>
          <w:sz w:val="24"/>
          <w:highlight w:val="none"/>
          <w:u w:val="single"/>
        </w:rPr>
        <w:t xml:space="preserve">  </w:t>
      </w:r>
      <w:r>
        <w:rPr>
          <w:rFonts w:hint="eastAsia" w:ascii="宋体" w:hAnsi="宋体"/>
          <w:b/>
          <w:color w:val="000000"/>
          <w:sz w:val="24"/>
          <w:highlight w:val="none"/>
          <w:u w:val="single"/>
        </w:rPr>
        <w:t xml:space="preserve">             </w:t>
      </w:r>
      <w:r>
        <w:rPr>
          <w:rFonts w:hint="eastAsia" w:ascii="宋体" w:hAnsi="宋体" w:cs="宋体"/>
          <w:color w:val="000000"/>
          <w:sz w:val="24"/>
          <w:highlight w:val="none"/>
          <w:u w:val="single"/>
        </w:rPr>
        <w:t xml:space="preserve">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b/>
          <w:color w:val="000000"/>
          <w:sz w:val="24"/>
          <w:highlight w:val="none"/>
          <w:u w:val="single"/>
        </w:rPr>
      </w:pPr>
      <w:r>
        <w:rPr>
          <w:rFonts w:hint="eastAsia" w:ascii="宋体" w:hAnsi="宋体"/>
          <w:color w:val="000000"/>
          <w:sz w:val="24"/>
          <w:highlight w:val="none"/>
        </w:rPr>
        <w:t>5.工程内容：</w:t>
      </w:r>
      <w:r>
        <w:rPr>
          <w:rFonts w:hint="eastAsia" w:ascii="宋体" w:hAnsi="宋体"/>
          <w:b/>
          <w:color w:val="000000"/>
          <w:sz w:val="24"/>
          <w:highlight w:val="none"/>
          <w:u w:val="single"/>
        </w:rPr>
        <w:t xml:space="preserve">                  </w:t>
      </w:r>
      <w:r>
        <w:rPr>
          <w:rFonts w:hint="eastAsia" w:ascii="宋体" w:hAnsi="宋体"/>
          <w:color w:val="000000"/>
          <w:sz w:val="24"/>
          <w:highlight w:val="none"/>
        </w:rPr>
        <w:t xml:space="preserve">。  </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群体工程应附《承包人承揽工程项目一览表》（附件1）。</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6.工程承包范围：</w:t>
      </w:r>
      <w:r>
        <w:rPr>
          <w:rFonts w:hint="eastAsia" w:ascii="宋体" w:hAnsi="宋体"/>
          <w:b/>
          <w:color w:val="000000"/>
          <w:sz w:val="24"/>
          <w:highlight w:val="none"/>
          <w:u w:val="single"/>
        </w:rPr>
        <w:t>工程施工总承包（详见施工图纸，施工图纸由发包人提供）</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bookmarkStart w:id="31" w:name="_Toc351203482"/>
      <w:r>
        <w:rPr>
          <w:rFonts w:hint="eastAsia" w:ascii="宋体" w:hAnsi="宋体"/>
          <w:b/>
          <w:color w:val="000000"/>
          <w:sz w:val="24"/>
          <w:highlight w:val="none"/>
        </w:rPr>
        <w:t>二、合同工期</w:t>
      </w:r>
      <w:bookmarkEnd w:id="31"/>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计划开工日期：</w:t>
      </w:r>
      <w:r>
        <w:rPr>
          <w:rFonts w:hint="eastAsia" w:ascii="宋体" w:hAnsi="宋体" w:cs="宋体"/>
          <w:color w:val="000000"/>
          <w:sz w:val="24"/>
          <w:highlight w:val="none"/>
          <w:u w:val="single"/>
        </w:rPr>
        <w:t> </w:t>
      </w:r>
      <w:r>
        <w:rPr>
          <w:rFonts w:hint="eastAsia" w:ascii="宋体" w:hAnsi="宋体"/>
          <w:color w:val="000000"/>
          <w:sz w:val="24"/>
          <w:highlight w:val="none"/>
        </w:rPr>
        <w:t>年</w:t>
      </w:r>
      <w:r>
        <w:rPr>
          <w:rFonts w:hint="eastAsia" w:ascii="宋体" w:hAnsi="宋体" w:cs="宋体"/>
          <w:color w:val="000000"/>
          <w:sz w:val="24"/>
          <w:highlight w:val="none"/>
          <w:u w:val="single"/>
        </w:rPr>
        <w:t xml:space="preserve">   </w:t>
      </w:r>
      <w:r>
        <w:rPr>
          <w:rFonts w:hint="eastAsia" w:ascii="宋体" w:hAnsi="宋体"/>
          <w:color w:val="000000"/>
          <w:sz w:val="24"/>
          <w:highlight w:val="none"/>
        </w:rPr>
        <w:t>月</w:t>
      </w:r>
      <w:r>
        <w:rPr>
          <w:rFonts w:hint="eastAsia" w:ascii="宋体" w:hAnsi="宋体" w:cs="宋体"/>
          <w:color w:val="000000"/>
          <w:sz w:val="24"/>
          <w:highlight w:val="none"/>
          <w:u w:val="single"/>
        </w:rPr>
        <w:t> </w:t>
      </w:r>
      <w:r>
        <w:rPr>
          <w:rFonts w:hint="eastAsia" w:ascii="宋体" w:hAnsi="宋体"/>
          <w:color w:val="000000"/>
          <w:sz w:val="24"/>
          <w:highlight w:val="none"/>
        </w:rPr>
        <w:t>日。</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计划竣工日期：</w:t>
      </w:r>
      <w:r>
        <w:rPr>
          <w:rFonts w:hint="eastAsia" w:ascii="宋体" w:hAnsi="宋体" w:cs="宋体"/>
          <w:color w:val="000000"/>
          <w:sz w:val="24"/>
          <w:highlight w:val="none"/>
          <w:u w:val="single"/>
        </w:rPr>
        <w:t> </w:t>
      </w:r>
      <w:r>
        <w:rPr>
          <w:rFonts w:hint="eastAsia" w:ascii="宋体" w:hAnsi="宋体"/>
          <w:color w:val="000000"/>
          <w:sz w:val="24"/>
          <w:highlight w:val="none"/>
        </w:rPr>
        <w:t>年</w:t>
      </w:r>
      <w:r>
        <w:rPr>
          <w:rFonts w:hint="eastAsia" w:ascii="宋体" w:hAnsi="宋体" w:cs="宋体"/>
          <w:color w:val="000000"/>
          <w:sz w:val="24"/>
          <w:highlight w:val="none"/>
          <w:u w:val="single"/>
        </w:rPr>
        <w:t> </w:t>
      </w:r>
      <w:r>
        <w:rPr>
          <w:rFonts w:hint="eastAsia" w:ascii="宋体" w:hAnsi="宋体"/>
          <w:color w:val="000000"/>
          <w:sz w:val="24"/>
          <w:highlight w:val="none"/>
        </w:rPr>
        <w:t>月</w:t>
      </w:r>
      <w:r>
        <w:rPr>
          <w:rFonts w:hint="eastAsia" w:ascii="宋体" w:hAnsi="宋体" w:cs="宋体"/>
          <w:color w:val="000000"/>
          <w:sz w:val="24"/>
          <w:highlight w:val="none"/>
          <w:u w:val="single"/>
        </w:rPr>
        <w:t> </w:t>
      </w:r>
      <w:r>
        <w:rPr>
          <w:rFonts w:hint="eastAsia" w:ascii="宋体" w:hAnsi="宋体"/>
          <w:color w:val="000000"/>
          <w:sz w:val="24"/>
          <w:highlight w:val="none"/>
        </w:rPr>
        <w:t>日。</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工期总日历天数：</w:t>
      </w:r>
      <w:r>
        <w:rPr>
          <w:rFonts w:hint="eastAsia" w:ascii="宋体" w:hAnsi="宋体" w:cs="宋体"/>
          <w:color w:val="000000"/>
          <w:sz w:val="24"/>
          <w:highlight w:val="none"/>
          <w:u w:val="single"/>
        </w:rPr>
        <w:t xml:space="preserve"> </w:t>
      </w:r>
      <w:r>
        <w:rPr>
          <w:rFonts w:hint="eastAsia" w:ascii="宋体" w:hAnsi="宋体" w:cs="宋体"/>
          <w:b/>
          <w:color w:val="000000"/>
          <w:sz w:val="24"/>
          <w:highlight w:val="none"/>
          <w:u w:val="single"/>
        </w:rPr>
        <w:t xml:space="preserve">   </w:t>
      </w:r>
      <w:r>
        <w:rPr>
          <w:rFonts w:hint="eastAsia" w:ascii="宋体" w:hAnsi="宋体"/>
          <w:color w:val="000000"/>
          <w:sz w:val="24"/>
          <w:highlight w:val="none"/>
        </w:rPr>
        <w:t>天。工期总日历天数与根据前述计划开竣工日期计算的工期天数不一致的，以工期总日历天数为准。</w:t>
      </w:r>
    </w:p>
    <w:p>
      <w:pPr>
        <w:pageBreakBefore w:val="0"/>
        <w:kinsoku/>
        <w:topLinePunct w:val="0"/>
        <w:bidi w:val="0"/>
        <w:spacing w:line="360" w:lineRule="auto"/>
        <w:ind w:firstLine="482" w:firstLineChars="200"/>
        <w:rPr>
          <w:rFonts w:hint="eastAsia" w:ascii="宋体" w:hAnsi="宋体"/>
          <w:b/>
          <w:color w:val="000000"/>
          <w:sz w:val="24"/>
          <w:highlight w:val="none"/>
        </w:rPr>
      </w:pPr>
      <w:bookmarkStart w:id="32" w:name="_Toc351203483"/>
      <w:r>
        <w:rPr>
          <w:rFonts w:hint="eastAsia" w:ascii="宋体" w:hAnsi="宋体"/>
          <w:b/>
          <w:color w:val="000000"/>
          <w:sz w:val="24"/>
          <w:highlight w:val="none"/>
        </w:rPr>
        <w:t>三、质量标准</w:t>
      </w:r>
      <w:bookmarkEnd w:id="32"/>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工程质量符合</w:t>
      </w:r>
      <w:r>
        <w:rPr>
          <w:rFonts w:hint="eastAsia" w:ascii="宋体" w:hAnsi="宋体" w:cs="宋体"/>
          <w:color w:val="000000"/>
          <w:sz w:val="24"/>
          <w:highlight w:val="none"/>
          <w:u w:val="single"/>
        </w:rPr>
        <w:t></w:t>
      </w:r>
      <w:r>
        <w:rPr>
          <w:rFonts w:hint="eastAsia" w:ascii="宋体" w:hAnsi="宋体" w:cs="宋体"/>
          <w:b/>
          <w:color w:val="000000"/>
          <w:sz w:val="24"/>
          <w:highlight w:val="none"/>
          <w:u w:val="single"/>
        </w:rPr>
        <w:t>合格</w:t>
      </w:r>
      <w:r>
        <w:rPr>
          <w:rFonts w:hint="eastAsia" w:ascii="宋体" w:hAnsi="宋体" w:cs="宋体"/>
          <w:color w:val="000000"/>
          <w:sz w:val="24"/>
          <w:highlight w:val="none"/>
          <w:u w:val="single"/>
        </w:rPr>
        <w:t></w:t>
      </w:r>
      <w:r>
        <w:rPr>
          <w:rFonts w:hint="eastAsia" w:ascii="宋体" w:hAnsi="宋体"/>
          <w:color w:val="000000"/>
          <w:sz w:val="24"/>
          <w:highlight w:val="none"/>
        </w:rPr>
        <w:t>标准。</w:t>
      </w:r>
      <w:bookmarkStart w:id="33" w:name="_Toc351203484"/>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四、签约合同价与合同价格形式</w:t>
      </w:r>
      <w:bookmarkEnd w:id="33"/>
    </w:p>
    <w:p>
      <w:pPr>
        <w:pageBreakBefore w:val="0"/>
        <w:kinsoku/>
        <w:topLinePunct w:val="0"/>
        <w:bidi w:val="0"/>
        <w:spacing w:line="360" w:lineRule="auto"/>
        <w:ind w:left="3201" w:leftChars="267" w:hanging="2640" w:hangingChars="1100"/>
        <w:rPr>
          <w:rFonts w:hint="eastAsia" w:ascii="宋体" w:hAnsi="宋体"/>
          <w:color w:val="000000"/>
          <w:sz w:val="24"/>
          <w:highlight w:val="none"/>
        </w:rPr>
      </w:pPr>
      <w:r>
        <w:rPr>
          <w:rFonts w:hint="eastAsia" w:ascii="宋体" w:hAnsi="宋体"/>
          <w:color w:val="000000"/>
          <w:sz w:val="24"/>
          <w:highlight w:val="none"/>
        </w:rPr>
        <w:t>1.签约合同价为：</w:t>
      </w:r>
    </w:p>
    <w:p>
      <w:pPr>
        <w:pageBreakBefore w:val="0"/>
        <w:kinsoku/>
        <w:topLinePunct w:val="0"/>
        <w:bidi w:val="0"/>
        <w:spacing w:line="360" w:lineRule="auto"/>
        <w:ind w:left="3201" w:leftChars="267" w:hanging="2640" w:hangingChars="1100"/>
        <w:rPr>
          <w:rFonts w:hint="eastAsia" w:ascii="宋体" w:hAnsi="宋体"/>
          <w:color w:val="000000"/>
          <w:spacing w:val="-10"/>
          <w:sz w:val="24"/>
          <w:highlight w:val="none"/>
        </w:rPr>
      </w:pPr>
      <w:r>
        <w:rPr>
          <w:rFonts w:hint="eastAsia" w:ascii="宋体" w:hAnsi="宋体"/>
          <w:color w:val="000000"/>
          <w:sz w:val="24"/>
          <w:highlight w:val="none"/>
        </w:rPr>
        <w:t>人民币（大写）</w:t>
      </w:r>
      <w:r>
        <w:rPr>
          <w:rFonts w:hint="eastAsia" w:ascii="宋体" w:hAnsi="宋体"/>
          <w:b/>
          <w:color w:val="000000"/>
          <w:sz w:val="24"/>
          <w:highlight w:val="none"/>
          <w:u w:val="single"/>
        </w:rPr>
        <w:t xml:space="preserve">                               </w:t>
      </w:r>
      <w:r>
        <w:rPr>
          <w:rFonts w:hint="eastAsia" w:ascii="宋体" w:hAnsi="宋体"/>
          <w:color w:val="000000"/>
          <w:spacing w:val="-10"/>
          <w:sz w:val="24"/>
          <w:highlight w:val="none"/>
        </w:rPr>
        <w:t>。</w:t>
      </w:r>
    </w:p>
    <w:p>
      <w:pPr>
        <w:pageBreakBefore w:val="0"/>
        <w:kinsoku/>
        <w:topLinePunct w:val="0"/>
        <w:bidi w:val="0"/>
        <w:spacing w:line="360" w:lineRule="auto"/>
        <w:ind w:firstLine="600" w:firstLineChars="250"/>
        <w:rPr>
          <w:rFonts w:hint="eastAsia" w:ascii="宋体" w:hAnsi="宋体"/>
          <w:color w:val="000000"/>
          <w:sz w:val="24"/>
          <w:highlight w:val="none"/>
        </w:rPr>
      </w:pPr>
      <w:r>
        <w:rPr>
          <w:rFonts w:hint="eastAsia" w:ascii="宋体" w:hAnsi="宋体"/>
          <w:color w:val="000000"/>
          <w:sz w:val="24"/>
          <w:highlight w:val="none"/>
        </w:rPr>
        <w:t>2.合同价格形式：</w:t>
      </w:r>
      <w:r>
        <w:rPr>
          <w:rFonts w:hint="eastAsia" w:ascii="宋体" w:hAnsi="宋体" w:cs="宋体"/>
          <w:b/>
          <w:color w:val="000000"/>
          <w:sz w:val="24"/>
          <w:highlight w:val="none"/>
          <w:u w:val="single"/>
        </w:rPr>
        <w:t>单价合同</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bookmarkStart w:id="34" w:name="_Toc351203485"/>
      <w:r>
        <w:rPr>
          <w:rFonts w:hint="eastAsia" w:ascii="宋体" w:hAnsi="宋体"/>
          <w:b/>
          <w:color w:val="000000"/>
          <w:sz w:val="24"/>
          <w:highlight w:val="none"/>
        </w:rPr>
        <w:t>五、</w:t>
      </w:r>
      <w:bookmarkEnd w:id="34"/>
      <w:r>
        <w:rPr>
          <w:rFonts w:hint="eastAsia" w:ascii="宋体" w:hAnsi="宋体"/>
          <w:b/>
          <w:color w:val="000000"/>
          <w:sz w:val="24"/>
          <w:highlight w:val="none"/>
        </w:rPr>
        <w:t>项目经理</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承包人项目经理：</w:t>
      </w:r>
      <w:r>
        <w:rPr>
          <w:rFonts w:hint="eastAsia" w:ascii="宋体" w:hAnsi="宋体"/>
          <w:b/>
          <w:color w:val="000000"/>
          <w:sz w:val="24"/>
          <w:highlight w:val="none"/>
          <w:u w:val="single"/>
        </w:rPr>
        <w:t xml:space="preserve">            </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bookmarkStart w:id="35" w:name="_Toc351203486"/>
      <w:r>
        <w:rPr>
          <w:rFonts w:hint="eastAsia" w:ascii="宋体" w:hAnsi="宋体"/>
          <w:b/>
          <w:color w:val="000000"/>
          <w:sz w:val="24"/>
          <w:highlight w:val="none"/>
        </w:rPr>
        <w:t>六、合同文件构成</w:t>
      </w:r>
      <w:bookmarkEnd w:id="35"/>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本协议书与下列文件一起构成合同文件：</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(l）中标通知书（如果有）；</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(2）投标函及其附录（如果有）；</w:t>
      </w:r>
    </w:p>
    <w:p>
      <w:pPr>
        <w:pageBreakBefore w:val="0"/>
        <w:kinsoku/>
        <w:topLinePunct w:val="0"/>
        <w:bidi w:val="0"/>
        <w:spacing w:line="360" w:lineRule="auto"/>
        <w:ind w:firstLine="360" w:firstLineChars="150"/>
        <w:rPr>
          <w:rFonts w:hint="eastAsia" w:ascii="宋体" w:hAnsi="宋体"/>
          <w:color w:val="000000"/>
          <w:sz w:val="24"/>
          <w:highlight w:val="none"/>
        </w:rPr>
      </w:pPr>
      <w:r>
        <w:rPr>
          <w:rFonts w:hint="eastAsia" w:ascii="宋体" w:hAnsi="宋体"/>
          <w:color w:val="000000"/>
          <w:sz w:val="24"/>
          <w:highlight w:val="none"/>
        </w:rPr>
        <w:t>（3）专用合同条款及其附件；</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(4）通用合同条款；</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(5）技术标准和要求；</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(6）图纸；</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(7）已标价工程量清单或预算书；</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(8）其他合同文件</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在合同订立及履行过程中形成的与合同有关的文件均构成合同文件组成部分。</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上述各项合同文件包括合同当事人就该项合同文件所作出的补充和修改，属于同一类内容的文件，应以最新签署的为准。专用合同条款及其附件须经合同当事人签字或盖章。</w:t>
      </w:r>
    </w:p>
    <w:p>
      <w:pPr>
        <w:pageBreakBefore w:val="0"/>
        <w:kinsoku/>
        <w:topLinePunct w:val="0"/>
        <w:bidi w:val="0"/>
        <w:spacing w:line="360" w:lineRule="auto"/>
        <w:ind w:firstLine="482" w:firstLineChars="200"/>
        <w:rPr>
          <w:rFonts w:hint="eastAsia" w:ascii="宋体" w:hAnsi="宋体"/>
          <w:b/>
          <w:color w:val="000000"/>
          <w:sz w:val="24"/>
          <w:highlight w:val="none"/>
        </w:rPr>
      </w:pPr>
      <w:bookmarkStart w:id="36" w:name="_Toc351203487"/>
      <w:r>
        <w:rPr>
          <w:rFonts w:hint="eastAsia" w:ascii="宋体" w:hAnsi="宋体"/>
          <w:b/>
          <w:color w:val="000000"/>
          <w:sz w:val="24"/>
          <w:highlight w:val="none"/>
        </w:rPr>
        <w:t>七、承诺</w:t>
      </w:r>
      <w:bookmarkEnd w:id="36"/>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1.发包人承诺按照法律规定履行项目审批手续、筹集工程建设资金并按照合同约定的期限和方式支付合同价款。</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2.承包人承诺按照法律规定及合同约定组织完成工程施工，确保工程质量和安全，不进行转包及违法分包，并在缺陷责任期及保修期内承担相应的工程维修责任。</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3.发包人和承包人通过招投标形式签订合同的，双方理解并承诺不再就同一工程另行签订与合同实质性内容相背离的协议。</w:t>
      </w:r>
      <w:bookmarkStart w:id="37" w:name="_Toc351203488"/>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八、词语含义</w:t>
      </w:r>
      <w:bookmarkEnd w:id="37"/>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本协议书中词语含义与第二部分通用合同条款中赋予的含义相同。</w:t>
      </w:r>
    </w:p>
    <w:p>
      <w:pPr>
        <w:pageBreakBefore w:val="0"/>
        <w:kinsoku/>
        <w:topLinePunct w:val="0"/>
        <w:bidi w:val="0"/>
        <w:spacing w:line="360" w:lineRule="auto"/>
        <w:ind w:firstLine="482" w:firstLineChars="200"/>
        <w:rPr>
          <w:rFonts w:hint="eastAsia" w:ascii="宋体" w:hAnsi="宋体"/>
          <w:b/>
          <w:color w:val="000000"/>
          <w:sz w:val="24"/>
          <w:highlight w:val="none"/>
        </w:rPr>
      </w:pPr>
      <w:bookmarkStart w:id="38" w:name="_Toc351203489"/>
      <w:r>
        <w:rPr>
          <w:rFonts w:hint="eastAsia" w:ascii="宋体" w:hAnsi="宋体"/>
          <w:b/>
          <w:color w:val="000000"/>
          <w:sz w:val="24"/>
          <w:highlight w:val="none"/>
        </w:rPr>
        <w:t>九、签订时间</w:t>
      </w:r>
      <w:bookmarkEnd w:id="38"/>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本合同于</w:t>
      </w:r>
      <w:r>
        <w:rPr>
          <w:rFonts w:hint="eastAsia" w:ascii="宋体" w:hAnsi="宋体"/>
          <w:color w:val="000000"/>
          <w:sz w:val="24"/>
          <w:highlight w:val="none"/>
          <w:u w:val="single"/>
        </w:rPr>
        <w:t xml:space="preserve">       </w:t>
      </w:r>
      <w:r>
        <w:rPr>
          <w:rFonts w:hint="eastAsia" w:ascii="宋体" w:hAnsi="宋体"/>
          <w:color w:val="000000"/>
          <w:sz w:val="24"/>
          <w:highlight w:val="none"/>
        </w:rPr>
        <w:t>年</w:t>
      </w:r>
      <w:r>
        <w:rPr>
          <w:rFonts w:hint="eastAsia" w:ascii="宋体" w:hAnsi="宋体"/>
          <w:color w:val="000000"/>
          <w:sz w:val="24"/>
          <w:highlight w:val="none"/>
          <w:u w:val="single"/>
        </w:rPr>
        <w:t xml:space="preserve">    </w:t>
      </w:r>
      <w:r>
        <w:rPr>
          <w:rFonts w:hint="eastAsia" w:ascii="宋体" w:hAnsi="宋体"/>
          <w:color w:val="000000"/>
          <w:sz w:val="24"/>
          <w:highlight w:val="none"/>
        </w:rPr>
        <w:t>月</w:t>
      </w:r>
      <w:r>
        <w:rPr>
          <w:rFonts w:hint="eastAsia" w:ascii="宋体" w:hAnsi="宋体"/>
          <w:color w:val="000000"/>
          <w:sz w:val="24"/>
          <w:highlight w:val="none"/>
          <w:u w:val="single"/>
        </w:rPr>
        <w:t xml:space="preserve">    </w:t>
      </w:r>
      <w:r>
        <w:rPr>
          <w:rFonts w:hint="eastAsia" w:ascii="宋体" w:hAnsi="宋体"/>
          <w:color w:val="000000"/>
          <w:sz w:val="24"/>
          <w:highlight w:val="none"/>
        </w:rPr>
        <w:t>日签订。</w:t>
      </w:r>
    </w:p>
    <w:p>
      <w:pPr>
        <w:pageBreakBefore w:val="0"/>
        <w:kinsoku/>
        <w:topLinePunct w:val="0"/>
        <w:bidi w:val="0"/>
        <w:spacing w:line="360" w:lineRule="auto"/>
        <w:ind w:firstLine="482" w:firstLineChars="200"/>
        <w:rPr>
          <w:rFonts w:hint="eastAsia" w:ascii="宋体" w:hAnsi="宋体"/>
          <w:b/>
          <w:color w:val="000000"/>
          <w:sz w:val="24"/>
          <w:highlight w:val="none"/>
        </w:rPr>
      </w:pPr>
      <w:bookmarkStart w:id="39" w:name="_Toc351203490"/>
      <w:r>
        <w:rPr>
          <w:rFonts w:hint="eastAsia" w:ascii="宋体" w:hAnsi="宋体"/>
          <w:b/>
          <w:color w:val="000000"/>
          <w:sz w:val="24"/>
          <w:highlight w:val="none"/>
        </w:rPr>
        <w:t>十、签订地点</w:t>
      </w:r>
      <w:bookmarkEnd w:id="39"/>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本合同在</w:t>
      </w:r>
      <w:r>
        <w:rPr>
          <w:rFonts w:hint="eastAsia" w:ascii="宋体" w:hAnsi="宋体"/>
          <w:color w:val="000000"/>
          <w:sz w:val="24"/>
          <w:highlight w:val="none"/>
          <w:u w:val="single"/>
        </w:rPr>
        <w:t xml:space="preserve"> </w:t>
      </w:r>
      <w:r>
        <w:rPr>
          <w:rFonts w:hint="eastAsia" w:ascii="宋体" w:hAnsi="宋体"/>
          <w:b/>
          <w:color w:val="000000"/>
          <w:sz w:val="24"/>
          <w:highlight w:val="none"/>
          <w:u w:val="single"/>
        </w:rPr>
        <w:t xml:space="preserve">              </w:t>
      </w:r>
      <w:r>
        <w:rPr>
          <w:rFonts w:hint="eastAsia" w:ascii="宋体" w:hAnsi="宋体"/>
          <w:color w:val="000000"/>
          <w:sz w:val="24"/>
          <w:highlight w:val="none"/>
        </w:rPr>
        <w:t>签订。</w:t>
      </w:r>
    </w:p>
    <w:p>
      <w:pPr>
        <w:pageBreakBefore w:val="0"/>
        <w:kinsoku/>
        <w:topLinePunct w:val="0"/>
        <w:bidi w:val="0"/>
        <w:spacing w:line="360" w:lineRule="auto"/>
        <w:ind w:firstLine="482" w:firstLineChars="200"/>
        <w:rPr>
          <w:rFonts w:hint="eastAsia" w:ascii="宋体" w:hAnsi="宋体"/>
          <w:b/>
          <w:color w:val="000000"/>
          <w:sz w:val="24"/>
          <w:highlight w:val="none"/>
        </w:rPr>
      </w:pPr>
      <w:bookmarkStart w:id="40" w:name="_Toc351203491"/>
      <w:r>
        <w:rPr>
          <w:rFonts w:hint="eastAsia" w:ascii="宋体" w:hAnsi="宋体"/>
          <w:b/>
          <w:color w:val="000000"/>
          <w:sz w:val="24"/>
          <w:highlight w:val="none"/>
        </w:rPr>
        <w:t>十一、补充协议</w:t>
      </w:r>
      <w:bookmarkEnd w:id="40"/>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合同未尽事宜，合同当事人另行签订补充协议，补充协议是合同的组成部分。</w:t>
      </w:r>
    </w:p>
    <w:p>
      <w:pPr>
        <w:pageBreakBefore w:val="0"/>
        <w:kinsoku/>
        <w:topLinePunct w:val="0"/>
        <w:bidi w:val="0"/>
        <w:spacing w:line="360" w:lineRule="auto"/>
        <w:ind w:firstLine="482" w:firstLineChars="200"/>
        <w:rPr>
          <w:rFonts w:hint="eastAsia" w:ascii="宋体" w:hAnsi="宋体"/>
          <w:b/>
          <w:color w:val="000000"/>
          <w:sz w:val="24"/>
          <w:highlight w:val="none"/>
        </w:rPr>
      </w:pPr>
      <w:bookmarkStart w:id="41" w:name="_Toc351203492"/>
      <w:r>
        <w:rPr>
          <w:rFonts w:hint="eastAsia" w:ascii="宋体" w:hAnsi="宋体"/>
          <w:b/>
          <w:color w:val="000000"/>
          <w:sz w:val="24"/>
          <w:highlight w:val="none"/>
        </w:rPr>
        <w:t>十二、合同生效</w:t>
      </w:r>
      <w:bookmarkEnd w:id="41"/>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本合同自</w:t>
      </w:r>
      <w:r>
        <w:rPr>
          <w:rFonts w:hint="eastAsia" w:ascii="宋体" w:hAnsi="宋体"/>
          <w:color w:val="000000"/>
          <w:sz w:val="24"/>
          <w:highlight w:val="none"/>
          <w:u w:val="single"/>
        </w:rPr>
        <w:t xml:space="preserve"> </w:t>
      </w:r>
      <w:r>
        <w:rPr>
          <w:rFonts w:hint="eastAsia" w:ascii="宋体" w:hAnsi="宋体"/>
          <w:b/>
          <w:color w:val="000000"/>
          <w:sz w:val="24"/>
          <w:highlight w:val="none"/>
          <w:u w:val="single"/>
        </w:rPr>
        <w:t xml:space="preserve">双方签字或盖章后 </w:t>
      </w:r>
      <w:r>
        <w:rPr>
          <w:rFonts w:hint="eastAsia" w:ascii="宋体" w:hAnsi="宋体"/>
          <w:color w:val="000000"/>
          <w:sz w:val="24"/>
          <w:highlight w:val="none"/>
        </w:rPr>
        <w:t>生效。</w:t>
      </w:r>
      <w:bookmarkStart w:id="42" w:name="_Toc351203493"/>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十三、合同份数</w:t>
      </w:r>
      <w:bookmarkEnd w:id="42"/>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本合同一式</w:t>
      </w:r>
      <w:r>
        <w:rPr>
          <w:rFonts w:hint="eastAsia" w:ascii="宋体" w:hAnsi="宋体"/>
          <w:color w:val="000000"/>
          <w:sz w:val="24"/>
          <w:highlight w:val="none"/>
          <w:u w:val="single"/>
        </w:rPr>
        <w:t xml:space="preserve"> </w:t>
      </w:r>
      <w:r>
        <w:rPr>
          <w:rFonts w:hint="eastAsia" w:ascii="宋体" w:hAnsi="宋体"/>
          <w:b/>
          <w:color w:val="000000"/>
          <w:sz w:val="24"/>
          <w:highlight w:val="none"/>
          <w:u w:val="single"/>
        </w:rPr>
        <w:t xml:space="preserve">    </w:t>
      </w:r>
      <w:r>
        <w:rPr>
          <w:rFonts w:hint="eastAsia" w:ascii="宋体" w:hAnsi="宋体"/>
          <w:color w:val="000000"/>
          <w:sz w:val="24"/>
          <w:highlight w:val="none"/>
        </w:rPr>
        <w:t>份，均具有同等法律效力，发包人执</w:t>
      </w:r>
      <w:r>
        <w:rPr>
          <w:rFonts w:hint="eastAsia" w:ascii="宋体" w:hAnsi="宋体"/>
          <w:color w:val="000000"/>
          <w:sz w:val="24"/>
          <w:highlight w:val="none"/>
          <w:u w:val="single"/>
        </w:rPr>
        <w:t xml:space="preserve"> </w:t>
      </w:r>
      <w:r>
        <w:rPr>
          <w:rFonts w:hint="eastAsia" w:ascii="宋体" w:hAnsi="宋体"/>
          <w:b/>
          <w:color w:val="000000"/>
          <w:sz w:val="24"/>
          <w:highlight w:val="none"/>
          <w:u w:val="single"/>
        </w:rPr>
        <w:t xml:space="preserve">    </w:t>
      </w:r>
      <w:r>
        <w:rPr>
          <w:rFonts w:hint="eastAsia" w:ascii="宋体" w:hAnsi="宋体"/>
          <w:color w:val="000000"/>
          <w:sz w:val="24"/>
          <w:highlight w:val="none"/>
        </w:rPr>
        <w:t>份，承包人执</w:t>
      </w:r>
      <w:r>
        <w:rPr>
          <w:rFonts w:hint="eastAsia" w:ascii="宋体" w:hAnsi="宋体"/>
          <w:color w:val="000000"/>
          <w:sz w:val="24"/>
          <w:highlight w:val="none"/>
          <w:u w:val="single"/>
        </w:rPr>
        <w:t xml:space="preserve"> </w:t>
      </w:r>
      <w:r>
        <w:rPr>
          <w:rFonts w:hint="eastAsia" w:ascii="宋体" w:hAnsi="宋体"/>
          <w:b/>
          <w:color w:val="000000"/>
          <w:sz w:val="24"/>
          <w:highlight w:val="none"/>
          <w:u w:val="single"/>
        </w:rPr>
        <w:t xml:space="preserve">    </w:t>
      </w:r>
      <w:r>
        <w:rPr>
          <w:rFonts w:hint="eastAsia" w:ascii="宋体" w:hAnsi="宋体"/>
          <w:color w:val="000000"/>
          <w:sz w:val="24"/>
          <w:highlight w:val="none"/>
        </w:rPr>
        <w:t>份。</w:t>
      </w:r>
    </w:p>
    <w:p>
      <w:pPr>
        <w:pageBreakBefore w:val="0"/>
        <w:kinsoku/>
        <w:topLinePunct w:val="0"/>
        <w:bidi w:val="0"/>
        <w:spacing w:line="360" w:lineRule="auto"/>
        <w:rPr>
          <w:rFonts w:hint="eastAsia" w:ascii="宋体" w:hAnsi="宋体"/>
          <w:color w:val="000000"/>
          <w:sz w:val="24"/>
          <w:highlight w:val="none"/>
        </w:rPr>
      </w:pP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发包人：</w:t>
      </w:r>
      <w:r>
        <w:rPr>
          <w:rFonts w:hint="eastAsia" w:ascii="宋体" w:hAnsi="宋体"/>
          <w:color w:val="000000"/>
          <w:sz w:val="24"/>
          <w:highlight w:val="none"/>
          <w:u w:val="single"/>
        </w:rPr>
        <w:t xml:space="preserve">                    </w:t>
      </w:r>
      <w:r>
        <w:rPr>
          <w:rFonts w:hint="eastAsia" w:ascii="宋体" w:hAnsi="宋体"/>
          <w:color w:val="000000"/>
          <w:sz w:val="24"/>
          <w:highlight w:val="none"/>
        </w:rPr>
        <w:t>(公章)      承包人：</w:t>
      </w:r>
      <w:r>
        <w:rPr>
          <w:rFonts w:hint="eastAsia" w:ascii="宋体" w:hAnsi="宋体"/>
          <w:color w:val="000000"/>
          <w:spacing w:val="-8"/>
          <w:sz w:val="24"/>
          <w:highlight w:val="none"/>
          <w:u w:val="single"/>
        </w:rPr>
        <w:t xml:space="preserve">                             </w:t>
      </w:r>
      <w:r>
        <w:rPr>
          <w:rFonts w:hint="eastAsia" w:ascii="宋体" w:hAnsi="宋体"/>
          <w:color w:val="000000"/>
          <w:sz w:val="24"/>
          <w:highlight w:val="none"/>
        </w:rPr>
        <w:t>(公章)</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 xml:space="preserve">                                 </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法定代表人：                            法定代表人：</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委托代理人：                            委托代理人：</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地  址：</w:t>
      </w:r>
      <w:r>
        <w:rPr>
          <w:rFonts w:hint="eastAsia" w:ascii="宋体" w:hAnsi="宋体"/>
          <w:color w:val="000000"/>
          <w:spacing w:val="-10"/>
          <w:sz w:val="24"/>
          <w:highlight w:val="none"/>
        </w:rPr>
        <w:t xml:space="preserve">                                       </w:t>
      </w:r>
      <w:r>
        <w:rPr>
          <w:rFonts w:hint="eastAsia" w:ascii="宋体" w:hAnsi="宋体"/>
          <w:color w:val="000000"/>
          <w:sz w:val="24"/>
          <w:highlight w:val="none"/>
        </w:rPr>
        <w:t>地  址：</w:t>
      </w:r>
      <w:r>
        <w:rPr>
          <w:rFonts w:hint="eastAsia" w:ascii="宋体" w:hAnsi="宋体"/>
          <w:color w:val="000000"/>
          <w:spacing w:val="-12"/>
          <w:sz w:val="24"/>
          <w:highlight w:val="none"/>
        </w:rPr>
        <w:t xml:space="preserve"> </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 xml:space="preserve">邮政编码： </w:t>
      </w:r>
      <w:r>
        <w:rPr>
          <w:rFonts w:hint="eastAsia" w:ascii="宋体" w:hAnsi="宋体" w:cs="宋体"/>
          <w:color w:val="000000"/>
          <w:sz w:val="24"/>
          <w:highlight w:val="none"/>
        </w:rPr>
        <w:t></w:t>
      </w:r>
      <w:r>
        <w:rPr>
          <w:rFonts w:hint="eastAsia" w:ascii="宋体" w:hAnsi="宋体"/>
          <w:color w:val="000000"/>
          <w:sz w:val="24"/>
          <w:highlight w:val="none"/>
        </w:rPr>
        <w:t xml:space="preserve">          </w:t>
      </w:r>
      <w:r>
        <w:rPr>
          <w:rFonts w:hint="eastAsia" w:ascii="宋体" w:hAnsi="宋体"/>
          <w:color w:val="000000"/>
          <w:spacing w:val="-10"/>
          <w:sz w:val="24"/>
          <w:highlight w:val="none"/>
        </w:rPr>
        <w:t xml:space="preserve">        </w:t>
      </w:r>
      <w:r>
        <w:rPr>
          <w:rFonts w:hint="eastAsia" w:ascii="宋体" w:hAnsi="宋体"/>
          <w:color w:val="000000"/>
          <w:sz w:val="24"/>
          <w:highlight w:val="none"/>
        </w:rPr>
        <w:t xml:space="preserve">           邮政编码:  </w:t>
      </w:r>
      <w:r>
        <w:rPr>
          <w:rFonts w:hint="eastAsia" w:ascii="宋体" w:hAnsi="宋体" w:cs="宋体"/>
          <w:color w:val="000000"/>
          <w:sz w:val="24"/>
          <w:highlight w:val="none"/>
        </w:rPr>
        <w:t xml:space="preserve"> </w:t>
      </w:r>
      <w:r>
        <w:rPr>
          <w:rFonts w:hint="eastAsia" w:ascii="宋体" w:hAnsi="宋体"/>
          <w:color w:val="000000"/>
          <w:sz w:val="24"/>
          <w:highlight w:val="none"/>
        </w:rPr>
        <w:t xml:space="preserve"> </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 xml:space="preserve">电  话： </w:t>
      </w:r>
      <w:r>
        <w:rPr>
          <w:rFonts w:hint="eastAsia" w:ascii="宋体" w:hAnsi="宋体" w:cs="宋体"/>
          <w:color w:val="000000"/>
          <w:sz w:val="24"/>
          <w:highlight w:val="none"/>
        </w:rPr>
        <w:t xml:space="preserve">                               </w:t>
      </w:r>
      <w:r>
        <w:rPr>
          <w:rFonts w:hint="eastAsia" w:ascii="宋体" w:hAnsi="宋体"/>
          <w:color w:val="000000"/>
          <w:sz w:val="24"/>
          <w:highlight w:val="none"/>
        </w:rPr>
        <w:t xml:space="preserve">电  话： </w:t>
      </w:r>
      <w:r>
        <w:rPr>
          <w:rFonts w:hint="eastAsia" w:ascii="宋体" w:hAnsi="宋体" w:cs="宋体"/>
          <w:color w:val="000000"/>
          <w:sz w:val="24"/>
          <w:highlight w:val="none"/>
        </w:rPr>
        <w:t xml:space="preserve"> </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电子信箱：                              电子信箱：</w:t>
      </w:r>
      <w:r>
        <w:rPr>
          <w:rFonts w:hint="eastAsia" w:ascii="宋体" w:hAnsi="宋体"/>
          <w:b/>
          <w:color w:val="000000"/>
          <w:sz w:val="24"/>
          <w:highlight w:val="none"/>
        </w:rPr>
        <w:t xml:space="preserve"> </w:t>
      </w:r>
      <w:r>
        <w:rPr>
          <w:rFonts w:hint="eastAsia" w:ascii="宋体" w:hAnsi="宋体"/>
          <w:color w:val="000000"/>
          <w:sz w:val="24"/>
          <w:highlight w:val="none"/>
        </w:rPr>
        <w:t xml:space="preserve">    </w:t>
      </w:r>
    </w:p>
    <w:p>
      <w:pPr>
        <w:pageBreakBefore w:val="0"/>
        <w:kinsoku/>
        <w:topLinePunct w:val="0"/>
        <w:bidi w:val="0"/>
        <w:spacing w:line="360" w:lineRule="auto"/>
        <w:rPr>
          <w:rFonts w:hint="eastAsia" w:ascii="宋体" w:hAnsi="宋体"/>
          <w:b/>
          <w:color w:val="000000"/>
          <w:sz w:val="24"/>
          <w:highlight w:val="none"/>
        </w:rPr>
      </w:pPr>
      <w:r>
        <w:rPr>
          <w:rFonts w:hint="eastAsia" w:ascii="宋体" w:hAnsi="宋体"/>
          <w:color w:val="000000"/>
          <w:sz w:val="24"/>
          <w:highlight w:val="none"/>
        </w:rPr>
        <w:t>开户银行：</w:t>
      </w:r>
      <w:r>
        <w:rPr>
          <w:rFonts w:hint="eastAsia" w:ascii="宋体" w:hAnsi="宋体" w:cs="宋体"/>
          <w:color w:val="000000"/>
          <w:sz w:val="24"/>
          <w:highlight w:val="none"/>
        </w:rPr>
        <w:t xml:space="preserve">              </w:t>
      </w:r>
      <w:r>
        <w:rPr>
          <w:rFonts w:hint="eastAsia" w:ascii="宋体" w:hAnsi="宋体"/>
          <w:color w:val="000000"/>
          <w:sz w:val="24"/>
          <w:highlight w:val="none"/>
        </w:rPr>
        <w:t xml:space="preserve">                开户银行：</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账  号：</w:t>
      </w:r>
      <w:r>
        <w:rPr>
          <w:rFonts w:hint="eastAsia" w:ascii="宋体" w:hAnsi="宋体" w:cs="宋体"/>
          <w:color w:val="000000"/>
          <w:sz w:val="24"/>
          <w:highlight w:val="none"/>
        </w:rPr>
        <w:t xml:space="preserve">           </w:t>
      </w:r>
      <w:r>
        <w:rPr>
          <w:rFonts w:hint="eastAsia" w:ascii="宋体" w:hAnsi="宋体"/>
          <w:color w:val="000000"/>
          <w:sz w:val="24"/>
          <w:highlight w:val="none"/>
        </w:rPr>
        <w:t xml:space="preserve">                     账  号：</w:t>
      </w:r>
    </w:p>
    <w:p>
      <w:pPr>
        <w:pageBreakBefore w:val="0"/>
        <w:kinsoku/>
        <w:topLinePunct w:val="0"/>
        <w:bidi w:val="0"/>
        <w:spacing w:line="360" w:lineRule="auto"/>
        <w:rPr>
          <w:rFonts w:hint="eastAsia"/>
          <w:color w:val="000000"/>
          <w:highlight w:val="none"/>
        </w:rPr>
      </w:pPr>
    </w:p>
    <w:p>
      <w:pPr>
        <w:pageBreakBefore w:val="0"/>
        <w:kinsoku/>
        <w:topLinePunct w:val="0"/>
        <w:bidi w:val="0"/>
        <w:spacing w:line="360" w:lineRule="auto"/>
        <w:rPr>
          <w:rFonts w:hint="eastAsia"/>
          <w:color w:val="000000"/>
          <w:highlight w:val="none"/>
        </w:rPr>
      </w:pPr>
    </w:p>
    <w:p>
      <w:pPr>
        <w:pageBreakBefore w:val="0"/>
        <w:kinsoku/>
        <w:topLinePunct w:val="0"/>
        <w:bidi w:val="0"/>
        <w:spacing w:line="360" w:lineRule="auto"/>
        <w:rPr>
          <w:rFonts w:hint="eastAsia"/>
          <w:color w:val="000000"/>
          <w:highlight w:val="none"/>
        </w:rPr>
      </w:pPr>
    </w:p>
    <w:p>
      <w:pPr>
        <w:pageBreakBefore w:val="0"/>
        <w:kinsoku/>
        <w:topLinePunct w:val="0"/>
        <w:bidi w:val="0"/>
        <w:spacing w:line="360" w:lineRule="auto"/>
        <w:ind w:firstLine="3052" w:firstLineChars="950"/>
        <w:rPr>
          <w:rFonts w:hint="eastAsia" w:ascii="宋体" w:hAnsi="宋体"/>
          <w:b/>
          <w:color w:val="000000"/>
          <w:sz w:val="32"/>
          <w:szCs w:val="32"/>
          <w:highlight w:val="none"/>
        </w:rPr>
      </w:pPr>
    </w:p>
    <w:p>
      <w:pPr>
        <w:pageBreakBefore w:val="0"/>
        <w:kinsoku/>
        <w:topLinePunct w:val="0"/>
        <w:bidi w:val="0"/>
        <w:spacing w:line="360" w:lineRule="auto"/>
        <w:ind w:firstLine="3052" w:firstLineChars="950"/>
        <w:rPr>
          <w:rFonts w:hint="eastAsia" w:ascii="宋体" w:hAnsi="宋体"/>
          <w:b/>
          <w:color w:val="000000"/>
          <w:sz w:val="32"/>
          <w:szCs w:val="32"/>
          <w:highlight w:val="none"/>
        </w:rPr>
      </w:pPr>
      <w:r>
        <w:rPr>
          <w:rFonts w:hint="eastAsia" w:ascii="宋体" w:hAnsi="宋体"/>
          <w:b/>
          <w:color w:val="000000"/>
          <w:sz w:val="32"/>
          <w:szCs w:val="32"/>
          <w:highlight w:val="none"/>
        </w:rPr>
        <w:t>第二部分 通用合同条款</w:t>
      </w:r>
      <w:bookmarkStart w:id="43" w:name="_Toc337558727"/>
      <w:bookmarkStart w:id="44" w:name="_Toc351203495"/>
    </w:p>
    <w:p>
      <w:pPr>
        <w:pageBreakBefore w:val="0"/>
        <w:kinsoku/>
        <w:topLinePunct w:val="0"/>
        <w:bidi w:val="0"/>
        <w:spacing w:line="360" w:lineRule="auto"/>
        <w:jc w:val="center"/>
        <w:rPr>
          <w:rFonts w:hint="eastAsia" w:ascii="仿宋_GB2312" w:eastAsia="仿宋_GB2312"/>
          <w:color w:val="000000"/>
          <w:sz w:val="28"/>
          <w:szCs w:val="28"/>
          <w:highlight w:val="none"/>
        </w:rPr>
      </w:pPr>
    </w:p>
    <w:bookmarkEnd w:id="43"/>
    <w:bookmarkEnd w:id="44"/>
    <w:p>
      <w:pPr>
        <w:pageBreakBefore w:val="0"/>
        <w:kinsoku/>
        <w:topLinePunct w:val="0"/>
        <w:bidi w:val="0"/>
        <w:spacing w:line="360" w:lineRule="auto"/>
        <w:jc w:val="center"/>
        <w:rPr>
          <w:rFonts w:hint="eastAsia" w:ascii="宋体" w:hAnsi="宋体"/>
          <w:color w:val="000000"/>
          <w:sz w:val="30"/>
          <w:szCs w:val="30"/>
          <w:highlight w:val="none"/>
        </w:rPr>
      </w:pPr>
      <w:r>
        <w:rPr>
          <w:rFonts w:hint="eastAsia" w:ascii="宋体" w:hAnsi="宋体"/>
          <w:color w:val="000000"/>
          <w:sz w:val="30"/>
          <w:szCs w:val="30"/>
          <w:highlight w:val="none"/>
        </w:rPr>
        <w:t xml:space="preserve"> 采用住房城乡建设部、国家工商行政管理总局（GF—2017—0201）</w:t>
      </w:r>
    </w:p>
    <w:p>
      <w:pPr>
        <w:pageBreakBefore w:val="0"/>
        <w:kinsoku/>
        <w:topLinePunct w:val="0"/>
        <w:bidi w:val="0"/>
        <w:spacing w:line="360" w:lineRule="auto"/>
        <w:jc w:val="center"/>
        <w:rPr>
          <w:rFonts w:hint="eastAsia" w:ascii="宋体" w:hAnsi="宋体"/>
          <w:color w:val="000000"/>
          <w:sz w:val="30"/>
          <w:szCs w:val="30"/>
          <w:highlight w:val="none"/>
        </w:rPr>
      </w:pPr>
      <w:r>
        <w:rPr>
          <w:rFonts w:hint="eastAsia" w:ascii="宋体" w:hAnsi="宋体"/>
          <w:color w:val="000000"/>
          <w:sz w:val="30"/>
          <w:szCs w:val="30"/>
          <w:highlight w:val="none"/>
        </w:rPr>
        <w:t>示范文本中的“通用条款”</w:t>
      </w:r>
    </w:p>
    <w:p>
      <w:pPr>
        <w:pageBreakBefore w:val="0"/>
        <w:kinsoku/>
        <w:topLinePunct w:val="0"/>
        <w:bidi w:val="0"/>
        <w:spacing w:line="360" w:lineRule="auto"/>
        <w:jc w:val="center"/>
        <w:rPr>
          <w:rFonts w:hint="eastAsia" w:ascii="宋体" w:hAnsi="宋体"/>
          <w:color w:val="000000"/>
          <w:sz w:val="30"/>
          <w:szCs w:val="30"/>
          <w:highlight w:val="none"/>
        </w:rPr>
      </w:pPr>
    </w:p>
    <w:p>
      <w:pPr>
        <w:pageBreakBefore w:val="0"/>
        <w:kinsoku/>
        <w:topLinePunct w:val="0"/>
        <w:bidi w:val="0"/>
        <w:spacing w:line="360" w:lineRule="auto"/>
        <w:jc w:val="both"/>
        <w:rPr>
          <w:rFonts w:hint="eastAsia" w:ascii="宋体" w:hAnsi="宋体"/>
          <w:b/>
          <w:color w:val="000000"/>
          <w:sz w:val="32"/>
          <w:szCs w:val="32"/>
          <w:highlight w:val="none"/>
        </w:rPr>
      </w:pPr>
    </w:p>
    <w:p>
      <w:pPr>
        <w:pageBreakBefore w:val="0"/>
        <w:kinsoku/>
        <w:topLinePunct w:val="0"/>
        <w:bidi w:val="0"/>
        <w:spacing w:line="360" w:lineRule="auto"/>
        <w:jc w:val="center"/>
        <w:rPr>
          <w:rFonts w:hint="eastAsia" w:ascii="宋体" w:hAnsi="宋体"/>
          <w:b/>
          <w:color w:val="000000"/>
          <w:sz w:val="32"/>
          <w:szCs w:val="32"/>
          <w:highlight w:val="none"/>
        </w:rPr>
      </w:pPr>
      <w:r>
        <w:rPr>
          <w:rFonts w:hint="eastAsia" w:ascii="宋体" w:hAnsi="宋体"/>
          <w:b/>
          <w:color w:val="000000"/>
          <w:sz w:val="32"/>
          <w:szCs w:val="32"/>
          <w:highlight w:val="none"/>
        </w:rPr>
        <w:t>第三部分 专用合同条款</w:t>
      </w:r>
    </w:p>
    <w:p>
      <w:pPr>
        <w:pageBreakBefore w:val="0"/>
        <w:kinsoku/>
        <w:topLinePunct w:val="0"/>
        <w:bidi w:val="0"/>
        <w:spacing w:line="360" w:lineRule="auto"/>
        <w:ind w:firstLine="480" w:firstLineChars="200"/>
        <w:rPr>
          <w:rFonts w:hint="eastAsia" w:ascii="黑体" w:eastAsia="黑体"/>
          <w:color w:val="000000"/>
          <w:sz w:val="24"/>
          <w:highlight w:val="none"/>
        </w:rPr>
      </w:pPr>
      <w:bookmarkStart w:id="45" w:name="_Toc351203633"/>
      <w:r>
        <w:rPr>
          <w:rFonts w:hint="eastAsia" w:ascii="黑体" w:eastAsia="黑体"/>
          <w:color w:val="000000"/>
          <w:sz w:val="24"/>
          <w:highlight w:val="none"/>
        </w:rPr>
        <w:t>1</w:t>
      </w:r>
      <w:bookmarkStart w:id="46" w:name="_Toc292559866"/>
      <w:bookmarkStart w:id="47" w:name="_Toc296944495"/>
      <w:bookmarkStart w:id="48" w:name="_Toc297120456"/>
      <w:bookmarkStart w:id="49" w:name="_Toc296346657"/>
      <w:bookmarkStart w:id="50" w:name="_Toc296347155"/>
      <w:bookmarkStart w:id="51" w:name="_Toc297048342"/>
      <w:bookmarkStart w:id="52" w:name="_Toc296891196"/>
      <w:bookmarkStart w:id="53" w:name="_Toc296890984"/>
      <w:bookmarkStart w:id="54" w:name="_Toc292559361"/>
      <w:bookmarkStart w:id="55" w:name="_Toc296503156"/>
      <w:r>
        <w:rPr>
          <w:rFonts w:hint="eastAsia" w:ascii="黑体" w:eastAsia="黑体"/>
          <w:color w:val="000000"/>
          <w:sz w:val="24"/>
          <w:highlight w:val="none"/>
        </w:rPr>
        <w:t>. 一般约定</w:t>
      </w:r>
      <w:bookmarkEnd w:id="45"/>
      <w:bookmarkEnd w:id="46"/>
      <w:bookmarkEnd w:id="47"/>
      <w:bookmarkEnd w:id="48"/>
      <w:bookmarkEnd w:id="49"/>
      <w:bookmarkEnd w:id="50"/>
      <w:bookmarkEnd w:id="51"/>
      <w:bookmarkEnd w:id="52"/>
      <w:bookmarkEnd w:id="53"/>
      <w:bookmarkEnd w:id="54"/>
      <w:bookmarkEnd w:id="55"/>
    </w:p>
    <w:p>
      <w:pPr>
        <w:pageBreakBefore w:val="0"/>
        <w:kinsoku/>
        <w:topLinePunct w:val="0"/>
        <w:bidi w:val="0"/>
        <w:spacing w:line="360" w:lineRule="auto"/>
        <w:ind w:firstLine="480" w:firstLineChars="200"/>
        <w:rPr>
          <w:rFonts w:hint="eastAsia" w:ascii="黑体" w:eastAsia="黑体"/>
          <w:color w:val="000000"/>
          <w:sz w:val="24"/>
          <w:highlight w:val="none"/>
        </w:rPr>
      </w:pPr>
      <w:r>
        <w:rPr>
          <w:rFonts w:hint="eastAsia" w:ascii="黑体" w:eastAsia="黑体"/>
          <w:color w:val="000000"/>
          <w:sz w:val="24"/>
          <w:highlight w:val="none"/>
        </w:rPr>
        <w:t>1.1 词语定义</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1.1.1合同</w:t>
      </w:r>
    </w:p>
    <w:p>
      <w:pPr>
        <w:pageBreakBefore w:val="0"/>
        <w:kinsoku/>
        <w:topLinePunct w:val="0"/>
        <w:bidi w:val="0"/>
        <w:spacing w:line="360" w:lineRule="auto"/>
        <w:rPr>
          <w:rFonts w:hint="eastAsia" w:ascii="宋体" w:hAnsi="宋体"/>
          <w:color w:val="000000"/>
          <w:sz w:val="24"/>
          <w:highlight w:val="none"/>
          <w:u w:val="single"/>
        </w:rPr>
      </w:pPr>
      <w:r>
        <w:rPr>
          <w:rFonts w:hint="eastAsia" w:ascii="宋体" w:hAnsi="宋体"/>
          <w:color w:val="000000"/>
          <w:sz w:val="24"/>
          <w:highlight w:val="none"/>
        </w:rPr>
        <w:t>1.1.1.10其他合同文件包括：</w:t>
      </w:r>
      <w:r>
        <w:rPr>
          <w:rFonts w:hint="eastAsia" w:ascii="宋体" w:hAnsi="宋体" w:cs="宋体"/>
          <w:color w:val="000000"/>
          <w:sz w:val="24"/>
          <w:highlight w:val="none"/>
          <w:u w:val="single"/>
        </w:rPr>
        <w:t>甲乙双方书面确认的对合同内容有实质性影响的会议纪要、签证、设计变更等资料</w:t>
      </w:r>
      <w:r>
        <w:rPr>
          <w:rFonts w:hint="eastAsia" w:ascii="宋体" w:hAnsi="宋体"/>
          <w:color w:val="000000"/>
          <w:sz w:val="24"/>
          <w:highlight w:val="none"/>
          <w:u w:val="single"/>
        </w:rPr>
        <w:t xml:space="preserve"> </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1.1.2 合同当事人及其他相关方</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1.1.2.4监理人：</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名    称：</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资质类别和等级：</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联系电话：</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电子信箱：</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rPr>
        <w:t xml:space="preserve">； </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通信地址：</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1.1.2.5 设计人：</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名    称：</w:t>
      </w:r>
      <w:r>
        <w:rPr>
          <w:rFonts w:hint="eastAsia" w:ascii="宋体" w:hAnsi="宋体" w:cs="宋体"/>
          <w:color w:val="000000"/>
          <w:sz w:val="24"/>
          <w:highlight w:val="none"/>
          <w:u w:val="single"/>
        </w:rPr>
        <w:t>         </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资质类别和等级：</w:t>
      </w:r>
      <w:r>
        <w:rPr>
          <w:rFonts w:hint="eastAsia" w:ascii="宋体" w:hAnsi="宋体" w:cs="宋体"/>
          <w:color w:val="000000"/>
          <w:sz w:val="24"/>
          <w:highlight w:val="none"/>
          <w:u w:val="single"/>
        </w:rPr>
        <w:t>         </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 </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联系电话：</w:t>
      </w:r>
      <w:r>
        <w:rPr>
          <w:rFonts w:hint="eastAsia" w:ascii="宋体" w:hAnsi="宋体" w:cs="宋体"/>
          <w:color w:val="000000"/>
          <w:sz w:val="24"/>
          <w:highlight w:val="none"/>
          <w:u w:val="single"/>
        </w:rPr>
        <w:t>         </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 </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电子信箱：</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 xml:space="preserve"> </w:t>
      </w:r>
      <w:r>
        <w:rPr>
          <w:rFonts w:hint="eastAsia" w:ascii="宋体" w:hAnsi="宋体"/>
          <w:color w:val="000000"/>
          <w:sz w:val="24"/>
          <w:highlight w:val="none"/>
          <w:u w:val="single"/>
        </w:rPr>
        <w:t xml:space="preserve">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通信地址：</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1.1.3 工程和设备</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1.1.3.7 作为施工现场组成部分的其他场所包括：</w:t>
      </w:r>
      <w:r>
        <w:rPr>
          <w:rFonts w:hint="eastAsia" w:ascii="宋体" w:hAnsi="宋体" w:cs="宋体"/>
          <w:color w:val="000000"/>
          <w:spacing w:val="-8"/>
          <w:sz w:val="24"/>
          <w:highlight w:val="none"/>
          <w:u w:val="single"/>
        </w:rPr>
        <w:t>符合通用条款规定的发包方提供的施工场地</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1.1.3.9 永久占地包括：</w:t>
      </w:r>
      <w:r>
        <w:rPr>
          <w:rFonts w:hint="eastAsia" w:ascii="宋体" w:hAnsi="宋体"/>
          <w:color w:val="000000"/>
          <w:sz w:val="24"/>
          <w:highlight w:val="none"/>
          <w:u w:val="single"/>
        </w:rPr>
        <w:t>依据施工图纸确定</w:t>
      </w:r>
      <w:r>
        <w:rPr>
          <w:rFonts w:hint="eastAsia" w:ascii="宋体" w:hAnsi="宋体" w:cs="宋体"/>
          <w:color w:val="000000"/>
          <w:sz w:val="24"/>
          <w:highlight w:val="none"/>
          <w:u w:val="single"/>
        </w:rPr>
        <w:t></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1.1.3.10 临时占地包括：</w:t>
      </w:r>
      <w:r>
        <w:rPr>
          <w:rFonts w:hint="eastAsia" w:ascii="宋体" w:hAnsi="宋体"/>
          <w:color w:val="000000"/>
          <w:sz w:val="24"/>
          <w:highlight w:val="none"/>
          <w:u w:val="single"/>
        </w:rPr>
        <w:t xml:space="preserve"> 为施工需要而占用的场地，包括场内交通，临时设施、材料、机具堆放等的用地</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 xml:space="preserve">1.3法律 </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适用于合同的其他规范性文件：</w:t>
      </w:r>
      <w:r>
        <w:rPr>
          <w:rFonts w:hint="eastAsia" w:ascii="宋体" w:hAnsi="宋体" w:cs="宋体"/>
          <w:color w:val="000000"/>
          <w:sz w:val="24"/>
          <w:highlight w:val="none"/>
          <w:u w:val="single"/>
        </w:rPr>
        <w:t>按“通用条款”执行</w:t>
      </w:r>
      <w:r>
        <w:rPr>
          <w:rFonts w:hint="eastAsia" w:ascii="宋体" w:hAnsi="宋体"/>
          <w:b/>
          <w:color w:val="000000"/>
          <w:sz w:val="24"/>
          <w:highlight w:val="none"/>
          <w:u w:val="single"/>
        </w:rPr>
        <w:t xml:space="preserve"> </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1.4 标准和规范</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1.4.1适用于工程的标准规范包括：</w:t>
      </w:r>
      <w:r>
        <w:rPr>
          <w:rFonts w:hint="eastAsia" w:ascii="宋体" w:hAnsi="宋体" w:cs="宋体"/>
          <w:color w:val="000000"/>
          <w:sz w:val="24"/>
          <w:highlight w:val="none"/>
          <w:u w:val="single"/>
        </w:rPr>
        <w:t>按“通用条款”执行</w:t>
      </w:r>
      <w:r>
        <w:rPr>
          <w:rFonts w:hint="eastAsia" w:ascii="宋体" w:hAnsi="宋体"/>
          <w:color w:val="000000"/>
          <w:sz w:val="24"/>
          <w:highlight w:val="none"/>
        </w:rPr>
        <w:t>。</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1.4.2 发包人提供国外标准、规范的名称：</w:t>
      </w:r>
      <w:r>
        <w:rPr>
          <w:rFonts w:hint="eastAsia" w:ascii="宋体" w:hAnsi="宋体"/>
          <w:color w:val="000000"/>
          <w:sz w:val="24"/>
          <w:highlight w:val="none"/>
          <w:u w:val="single"/>
        </w:rPr>
        <w:t xml:space="preserve">  /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发包人提供国外标准、规范的份数：</w:t>
      </w:r>
      <w:r>
        <w:rPr>
          <w:rFonts w:hint="eastAsia" w:ascii="宋体" w:hAnsi="宋体"/>
          <w:color w:val="000000"/>
          <w:sz w:val="24"/>
          <w:highlight w:val="none"/>
          <w:u w:val="single"/>
        </w:rPr>
        <w:t xml:space="preserve"> /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发包人提供国外标准、规范的名称：</w:t>
      </w:r>
      <w:r>
        <w:rPr>
          <w:rFonts w:hint="eastAsia" w:ascii="宋体" w:hAnsi="宋体"/>
          <w:color w:val="000000"/>
          <w:sz w:val="24"/>
          <w:highlight w:val="none"/>
          <w:u w:val="single"/>
        </w:rPr>
        <w:t xml:space="preserve"> /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u w:val="single"/>
        </w:rPr>
      </w:pPr>
      <w:r>
        <w:rPr>
          <w:rFonts w:hint="eastAsia" w:ascii="宋体" w:hAnsi="宋体"/>
          <w:color w:val="000000"/>
          <w:sz w:val="24"/>
          <w:highlight w:val="none"/>
        </w:rPr>
        <w:t>1.4.3发包人对工程的技术标准和功能要求的特殊要求：</w:t>
      </w:r>
      <w:r>
        <w:rPr>
          <w:rFonts w:hint="eastAsia" w:ascii="宋体" w:hAnsi="宋体"/>
          <w:color w:val="000000"/>
          <w:sz w:val="24"/>
          <w:highlight w:val="none"/>
          <w:u w:val="single"/>
        </w:rPr>
        <w:t xml:space="preserve"> /  </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1.5 合同文件的优先顺序</w:t>
      </w:r>
    </w:p>
    <w:p>
      <w:pPr>
        <w:pageBreakBefore w:val="0"/>
        <w:kinsoku/>
        <w:topLinePunct w:val="0"/>
        <w:bidi w:val="0"/>
        <w:spacing w:line="360" w:lineRule="auto"/>
        <w:rPr>
          <w:rFonts w:hint="eastAsia" w:ascii="宋体" w:hAnsi="宋体"/>
          <w:color w:val="000000"/>
          <w:sz w:val="24"/>
          <w:highlight w:val="none"/>
          <w:u w:val="single"/>
        </w:rPr>
      </w:pPr>
      <w:r>
        <w:rPr>
          <w:rFonts w:hint="eastAsia" w:ascii="宋体" w:hAnsi="宋体"/>
          <w:color w:val="000000"/>
          <w:sz w:val="24"/>
          <w:highlight w:val="none"/>
        </w:rPr>
        <w:t>合同文件组成及优先顺序为：</w:t>
      </w:r>
      <w:r>
        <w:rPr>
          <w:rFonts w:hint="eastAsia" w:ascii="宋体" w:hAnsi="宋体" w:cs="宋体"/>
          <w:color w:val="000000"/>
          <w:sz w:val="24"/>
          <w:highlight w:val="none"/>
          <w:u w:val="single"/>
        </w:rPr>
        <w:t>按“通用条款”执行</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1.6 图纸和承包人文件</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1.6.1 图纸的提供</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发包人向承包人提供图纸的期限：</w:t>
      </w:r>
      <w:r>
        <w:rPr>
          <w:rFonts w:hint="eastAsia" w:ascii="宋体" w:hAnsi="宋体" w:cs="宋体"/>
          <w:color w:val="000000"/>
          <w:sz w:val="24"/>
          <w:highlight w:val="none"/>
          <w:u w:val="single"/>
        </w:rPr>
        <w:t>进场前10天</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发包人向承包人提供图纸的数量：</w:t>
      </w:r>
      <w:r>
        <w:rPr>
          <w:rFonts w:hint="eastAsia" w:ascii="宋体" w:hAnsi="宋体" w:cs="宋体"/>
          <w:color w:val="000000"/>
          <w:sz w:val="24"/>
          <w:highlight w:val="none"/>
          <w:u w:val="single"/>
        </w:rPr>
        <w:t>五套</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发包人向承包人提供图纸的内容：</w:t>
      </w:r>
      <w:r>
        <w:rPr>
          <w:rFonts w:hint="eastAsia" w:ascii="宋体" w:hAnsi="宋体" w:cs="宋体"/>
          <w:color w:val="000000"/>
          <w:sz w:val="24"/>
          <w:highlight w:val="none"/>
          <w:u w:val="single"/>
        </w:rPr>
        <w:t>施工图</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1.6.4 承包人文件</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需要由承包人提供的文件，包括：</w:t>
      </w:r>
      <w:r>
        <w:rPr>
          <w:rFonts w:hint="eastAsia" w:ascii="宋体" w:hAnsi="宋体" w:cs="宋体"/>
          <w:color w:val="000000"/>
          <w:sz w:val="24"/>
          <w:highlight w:val="none"/>
          <w:u w:val="single"/>
        </w:rPr>
        <w:t>双方另行确定</w:t>
      </w:r>
      <w:r>
        <w:rPr>
          <w:rFonts w:hint="eastAsia" w:ascii="宋体" w:hAnsi="宋体"/>
          <w:color w:val="000000"/>
          <w:sz w:val="24"/>
          <w:highlight w:val="none"/>
          <w:u w:val="single"/>
        </w:rPr>
        <w:t xml:space="preserve">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承包人提供的文件的期限为：</w:t>
      </w:r>
      <w:r>
        <w:rPr>
          <w:rFonts w:hint="eastAsia" w:ascii="宋体" w:hAnsi="宋体" w:cs="宋体"/>
          <w:color w:val="000000"/>
          <w:sz w:val="24"/>
          <w:highlight w:val="none"/>
          <w:u w:val="single"/>
        </w:rPr>
        <w:t xml:space="preserve">双方另行确定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承包人提供的文件的数量为：</w:t>
      </w:r>
      <w:r>
        <w:rPr>
          <w:rFonts w:hint="eastAsia" w:ascii="宋体" w:hAnsi="宋体" w:cs="宋体"/>
          <w:color w:val="000000"/>
          <w:sz w:val="24"/>
          <w:highlight w:val="none"/>
          <w:u w:val="single"/>
        </w:rPr>
        <w:t>双方另行确定</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承包人提供的文件的形式为：</w:t>
      </w:r>
      <w:r>
        <w:rPr>
          <w:rFonts w:hint="eastAsia" w:ascii="宋体" w:hAnsi="宋体" w:cs="宋体"/>
          <w:color w:val="000000"/>
          <w:sz w:val="24"/>
          <w:highlight w:val="none"/>
          <w:u w:val="single"/>
        </w:rPr>
        <w:t>双方另行确定</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发包人审批承包人文件的期限：</w:t>
      </w:r>
      <w:r>
        <w:rPr>
          <w:rFonts w:hint="eastAsia" w:ascii="宋体" w:hAnsi="宋体" w:cs="宋体"/>
          <w:color w:val="000000"/>
          <w:sz w:val="24"/>
          <w:highlight w:val="none"/>
          <w:u w:val="single"/>
        </w:rPr>
        <w:t>双方另行确定</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1.6.5 现场图纸准备</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关于现场图纸准备的约定：</w:t>
      </w:r>
      <w:r>
        <w:rPr>
          <w:rFonts w:hint="eastAsia" w:ascii="宋体" w:hAnsi="宋体" w:cs="宋体"/>
          <w:color w:val="000000"/>
          <w:sz w:val="24"/>
          <w:highlight w:val="none"/>
          <w:u w:val="single"/>
        </w:rPr>
        <w:t>按通用条款执行</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1.7 联络</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1.7.1发包人和承包人应当在</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7 </w:t>
      </w:r>
      <w:r>
        <w:rPr>
          <w:rFonts w:hint="eastAsia" w:ascii="宋体" w:hAnsi="宋体"/>
          <w:color w:val="000000"/>
          <w:sz w:val="24"/>
          <w:highlight w:val="none"/>
        </w:rPr>
        <w:t>天内将与合同有关的通知、批准、证明、证书、指示、指令、要求、请求、同意、意见、确定和决定等书面函件送达对方当事人。</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1.7.2 发包人接收文件的地点：</w:t>
      </w:r>
      <w:r>
        <w:rPr>
          <w:rFonts w:hint="eastAsia" w:ascii="宋体" w:hAnsi="宋体" w:cs="宋体"/>
          <w:color w:val="000000"/>
          <w:sz w:val="24"/>
          <w:highlight w:val="none"/>
          <w:u w:val="single"/>
        </w:rPr>
        <w:t>项目所在地</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发包人指定的接收人为：</w:t>
      </w:r>
      <w:r>
        <w:rPr>
          <w:rFonts w:hint="eastAsia" w:ascii="宋体" w:hAnsi="宋体" w:cs="宋体"/>
          <w:color w:val="000000"/>
          <w:sz w:val="24"/>
          <w:highlight w:val="none"/>
          <w:u w:val="single"/>
        </w:rPr>
        <w:t>项目负责人</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承包人接收文件的地点：</w:t>
      </w:r>
      <w:r>
        <w:rPr>
          <w:rFonts w:hint="eastAsia" w:ascii="宋体" w:hAnsi="宋体" w:cs="宋体"/>
          <w:color w:val="000000"/>
          <w:sz w:val="24"/>
          <w:highlight w:val="none"/>
          <w:u w:val="single"/>
        </w:rPr>
        <w:t>项目所在地</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承包人指定的接收人为：</w:t>
      </w:r>
      <w:r>
        <w:rPr>
          <w:rFonts w:hint="eastAsia" w:ascii="宋体" w:hAnsi="宋体" w:cs="宋体"/>
          <w:color w:val="000000"/>
          <w:sz w:val="24"/>
          <w:highlight w:val="none"/>
          <w:u w:val="single"/>
        </w:rPr>
        <w:t>项目负责人</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监理人接收文件的地点：</w:t>
      </w:r>
      <w:r>
        <w:rPr>
          <w:rFonts w:hint="eastAsia" w:ascii="宋体" w:hAnsi="宋体" w:cs="宋体"/>
          <w:color w:val="000000"/>
          <w:sz w:val="24"/>
          <w:highlight w:val="none"/>
          <w:u w:val="single"/>
        </w:rPr>
        <w:t>项目所在地</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监理人指定的接收人为：</w:t>
      </w:r>
      <w:r>
        <w:rPr>
          <w:rFonts w:hint="eastAsia" w:ascii="宋体" w:hAnsi="宋体" w:cs="宋体"/>
          <w:color w:val="000000"/>
          <w:sz w:val="24"/>
          <w:highlight w:val="none"/>
          <w:u w:val="single"/>
        </w:rPr>
        <w:t>监理工程师</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1.10 交通运输</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w:t>
      </w:r>
      <w:bookmarkStart w:id="56" w:name="_Toc318581155"/>
      <w:bookmarkStart w:id="57" w:name="_Toc312677986"/>
      <w:bookmarkStart w:id="58" w:name="_Toc303539100"/>
      <w:bookmarkStart w:id="59" w:name="_Toc300934943"/>
      <w:bookmarkStart w:id="60" w:name="_Toc304295521"/>
      <w:r>
        <w:rPr>
          <w:rFonts w:hint="eastAsia" w:ascii="宋体" w:hAnsi="宋体"/>
          <w:b/>
          <w:color w:val="000000"/>
          <w:sz w:val="24"/>
          <w:highlight w:val="none"/>
        </w:rPr>
        <w:t>.10.1 出入现场的权利</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关于出入现场的权利的约定：</w:t>
      </w:r>
      <w:r>
        <w:rPr>
          <w:rFonts w:hint="eastAsia" w:ascii="宋体" w:hAnsi="宋体" w:cs="宋体"/>
          <w:color w:val="000000"/>
          <w:sz w:val="24"/>
          <w:highlight w:val="none"/>
          <w:u w:val="single"/>
        </w:rPr>
        <w:t>按通用条款执行</w:t>
      </w:r>
      <w:r>
        <w:rPr>
          <w:rFonts w:hint="eastAsia" w:ascii="宋体" w:hAnsi="宋体"/>
          <w:color w:val="000000"/>
          <w:sz w:val="24"/>
          <w:highlight w:val="none"/>
        </w:rPr>
        <w:t>。</w:t>
      </w:r>
    </w:p>
    <w:bookmarkEnd w:id="56"/>
    <w:bookmarkEnd w:id="57"/>
    <w:bookmarkEnd w:id="58"/>
    <w:bookmarkEnd w:id="59"/>
    <w:bookmarkEnd w:id="60"/>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w:t>
      </w:r>
      <w:bookmarkStart w:id="61" w:name="_Toc300934944"/>
      <w:bookmarkStart w:id="62" w:name="_Toc303539101"/>
      <w:bookmarkStart w:id="63" w:name="_Toc318581156"/>
      <w:bookmarkStart w:id="64" w:name="_Toc312677987"/>
      <w:bookmarkStart w:id="65" w:name="_Toc304295522"/>
      <w:r>
        <w:rPr>
          <w:rFonts w:hint="eastAsia" w:ascii="宋体" w:hAnsi="宋体"/>
          <w:b/>
          <w:color w:val="000000"/>
          <w:sz w:val="24"/>
          <w:highlight w:val="none"/>
        </w:rPr>
        <w:t xml:space="preserve">.10.3 场内交通 </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关于场外交通和场内交通的边界的约定</w:t>
      </w:r>
      <w:r>
        <w:rPr>
          <w:rFonts w:hint="eastAsia" w:ascii="宋体" w:hAnsi="宋体"/>
          <w:color w:val="000000"/>
          <w:sz w:val="24"/>
          <w:highlight w:val="none"/>
          <w:u w:val="single"/>
        </w:rPr>
        <w:t>：</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关于发包人向承包人免费提供满足工程施工需要的场内道路和交通设施的约定</w:t>
      </w:r>
      <w:r>
        <w:rPr>
          <w:rFonts w:hint="eastAsia" w:ascii="宋体" w:hAnsi="宋体"/>
          <w:color w:val="000000"/>
          <w:sz w:val="24"/>
          <w:highlight w:val="none"/>
          <w:u w:val="single"/>
        </w:rPr>
        <w:t>：</w:t>
      </w:r>
      <w:r>
        <w:rPr>
          <w:rFonts w:hint="eastAsia" w:ascii="宋体" w:hAnsi="宋体" w:cs="宋体"/>
          <w:color w:val="000000"/>
          <w:sz w:val="24"/>
          <w:highlight w:val="none"/>
          <w:u w:val="single"/>
        </w:rPr>
        <w:t>双方另行确定</w:t>
      </w:r>
      <w:r>
        <w:rPr>
          <w:rFonts w:hint="eastAsia" w:ascii="宋体" w:hAnsi="宋体"/>
          <w:color w:val="000000"/>
          <w:sz w:val="24"/>
          <w:highlight w:val="none"/>
          <w:u w:val="single"/>
        </w:rPr>
        <w:t xml:space="preserve"> </w:t>
      </w:r>
      <w:r>
        <w:rPr>
          <w:rFonts w:hint="eastAsia" w:ascii="宋体" w:hAnsi="宋体"/>
          <w:color w:val="000000"/>
          <w:sz w:val="24"/>
          <w:highlight w:val="none"/>
        </w:rPr>
        <w:t>。</w:t>
      </w:r>
      <w:bookmarkEnd w:id="61"/>
      <w:bookmarkEnd w:id="62"/>
      <w:bookmarkEnd w:id="63"/>
      <w:bookmarkEnd w:id="64"/>
      <w:bookmarkEnd w:id="65"/>
      <w:bookmarkStart w:id="66" w:name="_Toc318581157"/>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1.10.4超大件和超重件的运输</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运输超大件或超重件所需的道路和桥梁临时加固改造费用和其他有关费用由</w:t>
      </w:r>
      <w:r>
        <w:rPr>
          <w:rFonts w:hint="eastAsia" w:ascii="宋体" w:hAnsi="宋体"/>
          <w:color w:val="000000"/>
          <w:sz w:val="24"/>
          <w:highlight w:val="none"/>
          <w:u w:val="single"/>
        </w:rPr>
        <w:t xml:space="preserve"> 承包人 </w:t>
      </w:r>
      <w:r>
        <w:rPr>
          <w:rFonts w:hint="eastAsia" w:ascii="宋体" w:hAnsi="宋体"/>
          <w:color w:val="000000"/>
          <w:sz w:val="24"/>
          <w:highlight w:val="none"/>
        </w:rPr>
        <w:t>承担。</w:t>
      </w:r>
      <w:bookmarkEnd w:id="66"/>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1.11 知识产权</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color w:val="000000"/>
          <w:sz w:val="24"/>
          <w:highlight w:val="none"/>
          <w:u w:val="single"/>
        </w:rPr>
        <w:t>按通用条款执行</w:t>
      </w:r>
      <w:r>
        <w:rPr>
          <w:rFonts w:hint="eastAsia" w:ascii="宋体" w:hAnsi="宋体"/>
          <w:color w:val="000000"/>
          <w:sz w:val="24"/>
          <w:highlight w:val="none"/>
        </w:rPr>
        <w:t>。</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关于发包人提供的上述文件的使用限制的要求：</w:t>
      </w:r>
      <w:r>
        <w:rPr>
          <w:rFonts w:hint="eastAsia" w:ascii="宋体" w:hAnsi="宋体" w:cs="宋体"/>
          <w:color w:val="000000"/>
          <w:sz w:val="24"/>
          <w:highlight w:val="none"/>
          <w:u w:val="single"/>
        </w:rPr>
        <w:t>按通用条款执行</w:t>
      </w:r>
      <w:r>
        <w:rPr>
          <w:rFonts w:hint="eastAsia" w:ascii="宋体" w:hAnsi="宋体"/>
          <w:color w:val="000000"/>
          <w:sz w:val="24"/>
          <w:highlight w:val="none"/>
        </w:rPr>
        <w:t>。</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1.11.2 关于承包人为实施工程所编制文件的著作权的归属：</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按通用条款执行</w:t>
      </w:r>
      <w:r>
        <w:rPr>
          <w:rFonts w:hint="eastAsia" w:ascii="宋体" w:hAnsi="宋体"/>
          <w:color w:val="000000"/>
          <w:sz w:val="24"/>
          <w:highlight w:val="none"/>
        </w:rPr>
        <w:t>。</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关于承包人提供的上述文件的使用限制的要求：</w:t>
      </w:r>
      <w:r>
        <w:rPr>
          <w:rFonts w:hint="eastAsia" w:ascii="宋体" w:hAnsi="宋体" w:cs="宋体"/>
          <w:color w:val="000000"/>
          <w:sz w:val="24"/>
          <w:highlight w:val="none"/>
          <w:u w:val="single"/>
        </w:rPr>
        <w:t>按通用条款执行</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1.11.4 承包人在施工过程中所采用的专利、专有技术、技术秘密的使用费的承担方式：</w:t>
      </w:r>
      <w:r>
        <w:rPr>
          <w:rFonts w:hint="eastAsia" w:ascii="宋体" w:hAnsi="宋体" w:cs="宋体"/>
          <w:color w:val="000000"/>
          <w:sz w:val="24"/>
          <w:highlight w:val="none"/>
          <w:u w:val="single"/>
        </w:rPr>
        <w:t>按通用条款执行</w:t>
      </w:r>
      <w:r>
        <w:rPr>
          <w:rFonts w:hint="eastAsia" w:ascii="宋体" w:hAnsi="宋体"/>
          <w:color w:val="000000"/>
          <w:sz w:val="24"/>
          <w:highlight w:val="none"/>
          <w:u w:val="single"/>
        </w:rPr>
        <w:t xml:space="preserve">  </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1.13工程量清单错误的修正</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出现工程量清单错误时，是否调整合同价格：</w:t>
      </w:r>
      <w:r>
        <w:rPr>
          <w:rFonts w:hint="eastAsia" w:ascii="宋体" w:hAnsi="宋体"/>
          <w:color w:val="000000"/>
          <w:sz w:val="24"/>
          <w:highlight w:val="none"/>
          <w:u w:val="single"/>
        </w:rPr>
        <w:t xml:space="preserve"> </w:t>
      </w:r>
      <w:r>
        <w:rPr>
          <w:rFonts w:hint="eastAsia" w:ascii="宋体" w:hAnsi="宋体"/>
          <w:b/>
          <w:color w:val="000000"/>
          <w:sz w:val="24"/>
          <w:highlight w:val="none"/>
          <w:u w:val="single"/>
        </w:rPr>
        <w:t xml:space="preserve"> </w:t>
      </w:r>
      <w:r>
        <w:rPr>
          <w:rFonts w:hint="eastAsia" w:ascii="宋体" w:hAnsi="宋体"/>
          <w:color w:val="000000"/>
          <w:sz w:val="24"/>
          <w:highlight w:val="none"/>
          <w:u w:val="single"/>
        </w:rPr>
        <w:t xml:space="preserve">是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允许调整合同价格的工程量偏差范围：</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全部项目 </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bookmarkStart w:id="67" w:name="_Toc351203634"/>
      <w:r>
        <w:rPr>
          <w:rFonts w:hint="eastAsia" w:ascii="宋体" w:hAnsi="宋体"/>
          <w:b/>
          <w:color w:val="000000"/>
          <w:sz w:val="24"/>
          <w:highlight w:val="none"/>
        </w:rPr>
        <w:t>2</w:t>
      </w:r>
      <w:bookmarkStart w:id="68" w:name="_Toc297120457"/>
      <w:bookmarkStart w:id="69" w:name="_Toc296944496"/>
      <w:bookmarkStart w:id="70" w:name="_Toc292559867"/>
      <w:bookmarkStart w:id="71" w:name="_Toc296346658"/>
      <w:bookmarkStart w:id="72" w:name="_Toc296890985"/>
      <w:bookmarkStart w:id="73" w:name="_Toc297048343"/>
      <w:bookmarkStart w:id="74" w:name="_Toc296503157"/>
      <w:bookmarkStart w:id="75" w:name="_Toc296347156"/>
      <w:bookmarkStart w:id="76" w:name="_Toc296891197"/>
      <w:bookmarkStart w:id="77" w:name="_Toc292559362"/>
      <w:r>
        <w:rPr>
          <w:rFonts w:hint="eastAsia" w:ascii="宋体" w:hAnsi="宋体"/>
          <w:b/>
          <w:color w:val="000000"/>
          <w:sz w:val="24"/>
          <w:highlight w:val="none"/>
        </w:rPr>
        <w:t>.发包人</w:t>
      </w:r>
      <w:bookmarkEnd w:id="67"/>
      <w:bookmarkEnd w:id="68"/>
      <w:bookmarkEnd w:id="69"/>
      <w:bookmarkEnd w:id="70"/>
      <w:bookmarkEnd w:id="71"/>
      <w:bookmarkEnd w:id="72"/>
      <w:bookmarkEnd w:id="73"/>
      <w:bookmarkEnd w:id="74"/>
      <w:bookmarkEnd w:id="75"/>
      <w:bookmarkEnd w:id="76"/>
      <w:bookmarkEnd w:id="77"/>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2.2 发包人代表</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发包人代表：</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姓    名</w:t>
      </w:r>
      <w:r>
        <w:rPr>
          <w:rFonts w:hint="eastAsia" w:ascii="宋体" w:hAnsi="宋体"/>
          <w:color w:val="000000"/>
          <w:sz w:val="24"/>
          <w:highlight w:val="none"/>
          <w:u w:val="single"/>
        </w:rPr>
        <w:t>：</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身份证号：</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职    务：</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联系电话：</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电子信箱：</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通信地址：</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u w:val="single"/>
        </w:rPr>
      </w:pPr>
      <w:r>
        <w:rPr>
          <w:rFonts w:hint="eastAsia" w:ascii="宋体" w:hAnsi="宋体"/>
          <w:color w:val="000000"/>
          <w:sz w:val="24"/>
          <w:highlight w:val="none"/>
        </w:rPr>
        <w:t>发包人对发包人代表的授权范围如下：</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2.4 施工现场、施工条件和基础资料的提供</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2.4.1 提供施工现场</w:t>
      </w:r>
    </w:p>
    <w:p>
      <w:pPr>
        <w:pageBreakBefore w:val="0"/>
        <w:kinsoku/>
        <w:topLinePunct w:val="0"/>
        <w:bidi w:val="0"/>
        <w:spacing w:line="360" w:lineRule="auto"/>
        <w:ind w:firstLine="480" w:firstLineChars="200"/>
        <w:rPr>
          <w:rFonts w:hint="eastAsia" w:ascii="宋体" w:hAnsi="宋体"/>
          <w:color w:val="000000"/>
          <w:highlight w:val="none"/>
        </w:rPr>
      </w:pPr>
      <w:r>
        <w:rPr>
          <w:rFonts w:hint="eastAsia" w:ascii="宋体" w:hAnsi="宋体"/>
          <w:color w:val="000000"/>
          <w:sz w:val="24"/>
          <w:highlight w:val="none"/>
        </w:rPr>
        <w:t>关于发包人移交施工现场的期限要求：</w:t>
      </w:r>
      <w:r>
        <w:rPr>
          <w:rFonts w:hint="eastAsia" w:ascii="宋体" w:hAnsi="宋体"/>
          <w:color w:val="000000"/>
          <w:highlight w:val="none"/>
          <w:u w:val="single"/>
        </w:rPr>
        <w:t>施工场地应当在监理人发出的开工通知中载明的开工日期前  7  天具备施工条件并移交给承包人，发包人最迟应当在移交施工场地的同时向承包人提供施工场地内地下管线和地下设施等有关资料，并保证资料的真实、准确和完整。</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2.4.2 提供施工条件</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关于发包人应负责提供施工所需要的条件，包括：</w:t>
      </w:r>
    </w:p>
    <w:p>
      <w:pPr>
        <w:pageBreakBefore w:val="0"/>
        <w:kinsoku/>
        <w:topLinePunct w:val="0"/>
        <w:bidi w:val="0"/>
        <w:spacing w:line="360" w:lineRule="auto"/>
        <w:ind w:firstLine="720" w:firstLineChars="300"/>
        <w:rPr>
          <w:rFonts w:hint="eastAsia" w:ascii="宋体" w:hAnsi="宋体"/>
          <w:b/>
          <w:color w:val="000000"/>
          <w:sz w:val="24"/>
          <w:highlight w:val="none"/>
          <w:u w:val="single"/>
        </w:rPr>
      </w:pPr>
      <w:r>
        <w:rPr>
          <w:rFonts w:hint="eastAsia" w:ascii="宋体" w:hAnsi="宋体"/>
          <w:color w:val="000000"/>
          <w:sz w:val="24"/>
          <w:highlight w:val="none"/>
        </w:rPr>
        <w:t>提供：</w:t>
      </w:r>
      <w:r>
        <w:rPr>
          <w:rFonts w:hint="eastAsia" w:ascii="宋体" w:hAnsi="宋体"/>
          <w:color w:val="000000"/>
          <w:sz w:val="24"/>
          <w:highlight w:val="none"/>
          <w:u w:val="single"/>
        </w:rPr>
        <w:t>工地办公室、工人食堂、工人宿舍、工地卫生设施占用以及材料、机具堆放所需的场地</w:t>
      </w:r>
      <w:r>
        <w:rPr>
          <w:rFonts w:hint="eastAsia" w:ascii="宋体" w:hAnsi="宋体"/>
          <w:b/>
          <w:color w:val="000000"/>
          <w:sz w:val="24"/>
          <w:highlight w:val="none"/>
          <w:u w:val="singl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2.5 资金来源证明及支付担保</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发包人提供资金来源证明的期限要求：</w:t>
      </w:r>
      <w:r>
        <w:rPr>
          <w:rFonts w:hint="eastAsia" w:ascii="宋体" w:hAnsi="宋体" w:cs="宋体"/>
          <w:color w:val="000000"/>
          <w:sz w:val="24"/>
          <w:highlight w:val="none"/>
          <w:u w:val="single"/>
        </w:rPr>
        <w:t xml:space="preserve">/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发包人是否提供支付担保：</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发包人提供支付担保的形式：</w:t>
      </w:r>
      <w:r>
        <w:rPr>
          <w:rFonts w:hint="eastAsia" w:ascii="宋体" w:hAnsi="宋体" w:cs="宋体"/>
          <w:color w:val="000000"/>
          <w:sz w:val="24"/>
          <w:highlight w:val="none"/>
          <w:u w:val="single"/>
        </w:rPr>
        <w:t>/</w:t>
      </w:r>
      <w:r>
        <w:rPr>
          <w:rFonts w:hint="eastAsia" w:ascii="宋体" w:hAnsi="宋体"/>
          <w:color w:val="000000"/>
          <w:sz w:val="24"/>
          <w:highlight w:val="none"/>
        </w:rPr>
        <w:t>。</w:t>
      </w:r>
      <w:bookmarkStart w:id="78" w:name="_Toc351203635"/>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3</w:t>
      </w:r>
      <w:bookmarkStart w:id="79" w:name="_Toc296944497"/>
      <w:bookmarkStart w:id="80" w:name="_Toc296890986"/>
      <w:bookmarkStart w:id="81" w:name="_Toc297120458"/>
      <w:bookmarkStart w:id="82" w:name="_Toc292559868"/>
      <w:bookmarkStart w:id="83" w:name="_Toc296503158"/>
      <w:bookmarkStart w:id="84" w:name="_Toc292559363"/>
      <w:bookmarkStart w:id="85" w:name="_Toc296346659"/>
      <w:bookmarkStart w:id="86" w:name="_Toc296891198"/>
      <w:bookmarkStart w:id="87" w:name="_Toc297048344"/>
      <w:bookmarkStart w:id="88" w:name="_Toc296347157"/>
      <w:r>
        <w:rPr>
          <w:rFonts w:hint="eastAsia" w:ascii="宋体" w:hAnsi="宋体"/>
          <w:b/>
          <w:color w:val="000000"/>
          <w:sz w:val="24"/>
          <w:highlight w:val="none"/>
        </w:rPr>
        <w:t>. 承包人</w:t>
      </w:r>
      <w:bookmarkEnd w:id="78"/>
      <w:bookmarkEnd w:id="79"/>
      <w:bookmarkEnd w:id="80"/>
      <w:bookmarkEnd w:id="81"/>
      <w:bookmarkEnd w:id="82"/>
      <w:bookmarkEnd w:id="83"/>
      <w:bookmarkEnd w:id="84"/>
      <w:bookmarkEnd w:id="85"/>
      <w:bookmarkEnd w:id="86"/>
      <w:bookmarkEnd w:id="87"/>
      <w:bookmarkEnd w:id="88"/>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3.1 承包人的一般义务</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（5）承包人提交的竣工资料的内容：</w:t>
      </w:r>
      <w:r>
        <w:rPr>
          <w:rFonts w:hint="eastAsia" w:ascii="宋体" w:hAnsi="宋体"/>
          <w:color w:val="000000"/>
          <w:sz w:val="24"/>
          <w:highlight w:val="none"/>
          <w:u w:val="single"/>
        </w:rPr>
        <w:t xml:space="preserve">  承包人向发包人提交完整竣工图纸</w:t>
      </w:r>
      <w:r>
        <w:rPr>
          <w:rFonts w:hint="eastAsia" w:ascii="宋体" w:hAnsi="宋体" w:cs="宋体"/>
          <w:color w:val="000000"/>
          <w:sz w:val="24"/>
          <w:highlight w:val="none"/>
          <w:u w:val="single"/>
        </w:rPr>
        <w:t xml:space="preserve">  </w:t>
      </w:r>
      <w:r>
        <w:rPr>
          <w:rFonts w:hint="eastAsia" w:ascii="宋体" w:hAnsi="宋体"/>
          <w:color w:val="000000"/>
          <w:sz w:val="24"/>
          <w:highlight w:val="none"/>
          <w:u w:val="single"/>
        </w:rPr>
        <w:t xml:space="preserve">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承包人需要提交的竣工资料套数：</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 xml:space="preserve">五套  </w:t>
      </w:r>
      <w:r>
        <w:rPr>
          <w:rFonts w:hint="eastAsia" w:ascii="宋体" w:hAnsi="宋体"/>
          <w:color w:val="000000"/>
          <w:sz w:val="24"/>
          <w:highlight w:val="none"/>
          <w:u w:val="single"/>
        </w:rPr>
        <w:t xml:space="preserve">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承包人提交的竣工资料的费用承担：</w:t>
      </w:r>
      <w:r>
        <w:rPr>
          <w:rFonts w:hint="eastAsia" w:ascii="宋体" w:hAnsi="宋体"/>
          <w:color w:val="000000"/>
          <w:sz w:val="24"/>
          <w:highlight w:val="none"/>
          <w:u w:val="single"/>
        </w:rPr>
        <w:t xml:space="preserve">   由承包人承担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承包人提交的竣工资料移交时间：</w:t>
      </w:r>
      <w:r>
        <w:rPr>
          <w:rFonts w:hint="eastAsia" w:ascii="宋体" w:hAnsi="宋体"/>
          <w:color w:val="000000"/>
          <w:sz w:val="24"/>
          <w:highlight w:val="none"/>
          <w:u w:val="single"/>
        </w:rPr>
        <w:t xml:space="preserve">  工程竣工验收合格后30天内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承包人提交的竣工资料形式要求：</w:t>
      </w:r>
      <w:r>
        <w:rPr>
          <w:rFonts w:hint="eastAsia" w:ascii="宋体" w:hAnsi="宋体"/>
          <w:color w:val="000000"/>
          <w:sz w:val="24"/>
          <w:highlight w:val="none"/>
          <w:u w:val="single"/>
        </w:rPr>
        <w:t xml:space="preserve">  书面形式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（6）承包人应履行的其他义务：</w:t>
      </w:r>
      <w:r>
        <w:rPr>
          <w:rFonts w:hint="eastAsia" w:ascii="宋体" w:hAnsi="宋体" w:cs="宋体"/>
          <w:color w:val="000000"/>
          <w:sz w:val="24"/>
          <w:highlight w:val="none"/>
          <w:u w:val="single"/>
        </w:rPr>
        <w:t>双方另行确定</w:t>
      </w:r>
      <w:r>
        <w:rPr>
          <w:rFonts w:hint="eastAsia" w:ascii="宋体" w:hAnsi="宋体"/>
          <w:color w:val="000000"/>
          <w:sz w:val="24"/>
          <w:highlight w:val="none"/>
          <w:u w:val="single"/>
        </w:rPr>
        <w:t xml:space="preserve">   </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3.2 项目经理</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3.2.1 项目经理：</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姓    名：</w:t>
      </w:r>
      <w:r>
        <w:rPr>
          <w:rFonts w:hint="eastAsia" w:ascii="宋体" w:hAnsi="宋体" w:cs="宋体"/>
          <w:color w:val="000000"/>
          <w:sz w:val="24"/>
          <w:highlight w:val="none"/>
          <w:u w:val="single"/>
        </w:rPr>
        <w:t xml:space="preserve">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身份证号：</w:t>
      </w:r>
      <w:r>
        <w:rPr>
          <w:rFonts w:hint="eastAsia" w:ascii="宋体" w:hAnsi="宋体"/>
          <w:color w:val="000000"/>
          <w:kern w:val="0"/>
          <w:sz w:val="24"/>
          <w:highlight w:val="none"/>
          <w:u w:val="single"/>
        </w:rPr>
        <w:t xml:space="preserve">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建造师执业资格等级：</w:t>
      </w:r>
      <w:r>
        <w:rPr>
          <w:rFonts w:hint="eastAsia" w:ascii="宋体" w:hAnsi="宋体" w:cs="宋体"/>
          <w:color w:val="000000"/>
          <w:sz w:val="24"/>
          <w:highlight w:val="none"/>
          <w:u w:val="single"/>
        </w:rPr>
        <w:t>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建造师注册证书号：</w:t>
      </w:r>
      <w:r>
        <w:rPr>
          <w:rFonts w:hint="eastAsia" w:ascii="宋体" w:hAnsi="宋体" w:cs="宋体"/>
          <w:color w:val="000000"/>
          <w:sz w:val="24"/>
          <w:highlight w:val="none"/>
          <w:u w:val="single"/>
        </w:rPr>
        <w:t xml:space="preserve">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建造师执业印章号：</w:t>
      </w:r>
      <w:r>
        <w:rPr>
          <w:rFonts w:hint="eastAsia" w:ascii="宋体" w:hAnsi="宋体"/>
          <w:color w:val="000000"/>
          <w:kern w:val="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安全生产考核合格证书号：</w:t>
      </w:r>
      <w:r>
        <w:rPr>
          <w:rFonts w:hint="eastAsia" w:ascii="宋体" w:hAnsi="宋体" w:cs="宋体"/>
          <w:color w:val="000000"/>
          <w:sz w:val="24"/>
          <w:highlight w:val="none"/>
          <w:u w:val="single"/>
        </w:rPr>
        <w:t></w:t>
      </w:r>
      <w:r>
        <w:rPr>
          <w:rFonts w:hint="eastAsia" w:ascii="宋体" w:hAnsi="宋体"/>
          <w:color w:val="000000"/>
          <w:kern w:val="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联系电话：</w:t>
      </w:r>
      <w:r>
        <w:rPr>
          <w:rFonts w:hint="eastAsia" w:ascii="宋体" w:hAnsi="宋体" w:cs="宋体"/>
          <w:color w:val="000000"/>
          <w:sz w:val="24"/>
          <w:highlight w:val="none"/>
          <w:u w:val="single"/>
        </w:rPr>
        <w:t>         </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电子信箱：</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通信地址：</w:t>
      </w:r>
      <w:r>
        <w:rPr>
          <w:rFonts w:hint="eastAsia" w:ascii="宋体" w:hAnsi="宋体" w:cs="宋体"/>
          <w:color w:val="000000"/>
          <w:sz w:val="24"/>
          <w:highlight w:val="none"/>
          <w:u w:val="single"/>
        </w:rPr>
        <w:t xml:space="preserve">                   </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rPr>
        <w:t>；</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承包人对项目经理的授权范围如下：</w:t>
      </w:r>
      <w:r>
        <w:rPr>
          <w:rFonts w:hint="eastAsia" w:ascii="宋体" w:hAnsi="宋体" w:cs="宋体"/>
          <w:color w:val="000000"/>
          <w:sz w:val="24"/>
          <w:highlight w:val="none"/>
          <w:u w:val="single"/>
        </w:rPr>
        <w:t>施工现场质量安全的全面管理</w:t>
      </w:r>
      <w:r>
        <w:rPr>
          <w:rFonts w:hint="eastAsia" w:ascii="宋体" w:hAnsi="宋体"/>
          <w:color w:val="000000"/>
          <w:sz w:val="24"/>
          <w:highlight w:val="none"/>
          <w:u w:val="single"/>
        </w:rPr>
        <w:t xml:space="preserve"> </w:t>
      </w:r>
      <w:r>
        <w:rPr>
          <w:rFonts w:hint="eastAsia" w:ascii="宋体" w:hAnsi="宋体"/>
          <w:color w:val="000000"/>
          <w:sz w:val="24"/>
          <w:highlight w:val="none"/>
        </w:rPr>
        <w:t>。</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关于项目经理每月在施工现场的时间要求：</w:t>
      </w:r>
      <w:r>
        <w:rPr>
          <w:rFonts w:hint="eastAsia" w:ascii="宋体" w:hAnsi="宋体"/>
          <w:color w:val="000000"/>
          <w:sz w:val="24"/>
          <w:highlight w:val="none"/>
          <w:u w:val="single"/>
        </w:rPr>
        <w:t xml:space="preserve">  不少于5天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u w:val="single"/>
        </w:rPr>
      </w:pPr>
      <w:r>
        <w:rPr>
          <w:rFonts w:hint="eastAsia" w:ascii="宋体" w:hAnsi="宋体"/>
          <w:color w:val="000000"/>
          <w:sz w:val="24"/>
          <w:highlight w:val="none"/>
        </w:rPr>
        <w:t>承包人未提交劳动合同，以及没有为项目经理缴纳社会保险证明的违约责任：</w:t>
      </w:r>
      <w:r>
        <w:rPr>
          <w:rFonts w:hint="eastAsia" w:ascii="宋体" w:hAnsi="宋体"/>
          <w:color w:val="000000"/>
          <w:sz w:val="24"/>
          <w:highlight w:val="none"/>
          <w:u w:val="single"/>
        </w:rPr>
        <w:t xml:space="preserve">    / </w:t>
      </w:r>
      <w:r>
        <w:rPr>
          <w:rFonts w:hint="eastAsia" w:ascii="宋体" w:hAnsi="宋体" w:cs="宋体"/>
          <w:color w:val="000000"/>
          <w:sz w:val="24"/>
          <w:highlight w:val="none"/>
          <w:u w:val="single"/>
        </w:rPr>
        <w:t></w:t>
      </w:r>
      <w:r>
        <w:rPr>
          <w:rFonts w:hint="eastAsia" w:ascii="宋体" w:hAnsi="宋体"/>
          <w:color w:val="000000"/>
          <w:sz w:val="24"/>
          <w:highlight w:val="none"/>
        </w:rPr>
        <w:t>。</w:t>
      </w:r>
    </w:p>
    <w:p>
      <w:pPr>
        <w:pageBreakBefore w:val="0"/>
        <w:kinsoku/>
        <w:topLinePunct w:val="0"/>
        <w:bidi w:val="0"/>
        <w:spacing w:line="360" w:lineRule="auto"/>
        <w:rPr>
          <w:rFonts w:hint="eastAsia" w:ascii="宋体" w:hAnsi="宋体"/>
          <w:color w:val="000000"/>
          <w:sz w:val="24"/>
          <w:highlight w:val="none"/>
          <w:u w:val="single"/>
        </w:rPr>
      </w:pPr>
      <w:r>
        <w:rPr>
          <w:rFonts w:hint="eastAsia" w:ascii="宋体" w:hAnsi="宋体"/>
          <w:color w:val="000000"/>
          <w:sz w:val="24"/>
          <w:highlight w:val="none"/>
        </w:rPr>
        <w:t>项目经理未经批准，擅自离开施工现场的违约责任：</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u w:val="single"/>
        </w:rPr>
      </w:pPr>
      <w:r>
        <w:rPr>
          <w:rFonts w:hint="eastAsia" w:ascii="宋体" w:hAnsi="宋体"/>
          <w:color w:val="000000"/>
          <w:sz w:val="24"/>
          <w:highlight w:val="none"/>
        </w:rPr>
        <w:t>3.2.3 承包人擅自更换项目经理的违约责任：</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                           </w:t>
      </w:r>
      <w:r>
        <w:rPr>
          <w:rFonts w:hint="eastAsia" w:ascii="宋体" w:hAnsi="宋体"/>
          <w:color w:val="000000"/>
          <w:sz w:val="24"/>
          <w:highlight w:val="none"/>
        </w:rPr>
        <w:t>。</w:t>
      </w:r>
    </w:p>
    <w:p>
      <w:pPr>
        <w:pageBreakBefore w:val="0"/>
        <w:kinsoku/>
        <w:topLinePunct w:val="0"/>
        <w:bidi w:val="0"/>
        <w:spacing w:line="360" w:lineRule="auto"/>
        <w:ind w:firstLine="570"/>
        <w:rPr>
          <w:rFonts w:hint="eastAsia" w:ascii="宋体" w:hAnsi="宋体"/>
          <w:color w:val="000000"/>
          <w:sz w:val="24"/>
          <w:highlight w:val="none"/>
          <w:u w:val="single"/>
        </w:rPr>
      </w:pPr>
      <w:r>
        <w:rPr>
          <w:rFonts w:hint="eastAsia" w:ascii="宋体" w:hAnsi="宋体"/>
          <w:color w:val="000000"/>
          <w:sz w:val="24"/>
          <w:highlight w:val="none"/>
        </w:rPr>
        <w:t>3.2.4 承包人无正当理由拒绝更换项目经理的违约责任：</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u w:val="single"/>
        </w:rPr>
        <w:t>/</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3.3 承包人人员</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3.3.1 承包人提交项目管理机构及施工现场管理人员安排报告的期限：</w:t>
      </w:r>
      <w:r>
        <w:rPr>
          <w:rFonts w:hint="eastAsia" w:ascii="宋体" w:hAnsi="宋体"/>
          <w:color w:val="000000"/>
          <w:sz w:val="24"/>
          <w:highlight w:val="none"/>
          <w:u w:val="single"/>
        </w:rPr>
        <w:t xml:space="preserve">  工程开工前2天  </w:t>
      </w:r>
      <w:r>
        <w:rPr>
          <w:rFonts w:hint="eastAsia" w:ascii="宋体" w:hAnsi="宋体"/>
          <w:color w:val="000000"/>
          <w:sz w:val="24"/>
          <w:highlight w:val="none"/>
        </w:rPr>
        <w:t>。</w:t>
      </w:r>
    </w:p>
    <w:p>
      <w:pPr>
        <w:pageBreakBefore w:val="0"/>
        <w:kinsoku/>
        <w:topLinePunct w:val="0"/>
        <w:bidi w:val="0"/>
        <w:spacing w:line="360" w:lineRule="auto"/>
        <w:ind w:left="1" w:firstLine="480" w:firstLineChars="200"/>
        <w:rPr>
          <w:rFonts w:hint="eastAsia" w:ascii="宋体" w:hAnsi="宋体" w:cs="宋体"/>
          <w:color w:val="000000"/>
          <w:sz w:val="24"/>
          <w:highlight w:val="none"/>
          <w:u w:val="single"/>
        </w:rPr>
      </w:pPr>
      <w:r>
        <w:rPr>
          <w:rFonts w:hint="eastAsia" w:ascii="宋体" w:hAnsi="宋体"/>
          <w:color w:val="000000"/>
          <w:sz w:val="24"/>
          <w:highlight w:val="none"/>
        </w:rPr>
        <w:t>3.3.3 承包人无正当理由拒绝撤换主要施工管理人员的违约责任：</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u w:val="single"/>
        </w:rPr>
      </w:pPr>
      <w:r>
        <w:rPr>
          <w:rFonts w:hint="eastAsia" w:ascii="宋体" w:hAnsi="宋体"/>
          <w:color w:val="000000"/>
          <w:sz w:val="24"/>
          <w:highlight w:val="none"/>
        </w:rPr>
        <w:t>3.3.4 承包人主要施工管理人员离开施工现场的批准要求：</w:t>
      </w:r>
      <w:r>
        <w:rPr>
          <w:rFonts w:hint="eastAsia" w:ascii="宋体" w:hAnsi="宋体"/>
          <w:color w:val="000000"/>
          <w:sz w:val="24"/>
          <w:highlight w:val="none"/>
          <w:u w:val="single"/>
        </w:rPr>
        <w:t xml:space="preserve">         /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s="宋体"/>
          <w:color w:val="000000"/>
          <w:sz w:val="24"/>
          <w:highlight w:val="none"/>
          <w:u w:val="single"/>
        </w:rPr>
      </w:pPr>
      <w:r>
        <w:rPr>
          <w:rFonts w:hint="eastAsia" w:ascii="宋体" w:hAnsi="宋体"/>
          <w:color w:val="000000"/>
          <w:sz w:val="24"/>
          <w:highlight w:val="none"/>
        </w:rPr>
        <w:t>3.3.5承包人擅自更换主要施工管理人员的违约责任：</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s="宋体"/>
          <w:color w:val="000000"/>
          <w:sz w:val="24"/>
          <w:highlight w:val="none"/>
          <w:u w:val="single"/>
        </w:rPr>
      </w:pPr>
      <w:r>
        <w:rPr>
          <w:rFonts w:hint="eastAsia" w:ascii="宋体" w:hAnsi="宋体"/>
          <w:color w:val="000000"/>
          <w:sz w:val="24"/>
          <w:highlight w:val="none"/>
        </w:rPr>
        <w:t>承包人主要施工管理人员擅自离开施工现场的违约责任：</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  </w:t>
      </w:r>
      <w:r>
        <w:rPr>
          <w:rFonts w:hint="eastAsia" w:ascii="宋体" w:hAnsi="宋体" w:cs="宋体"/>
          <w:color w:val="000000"/>
          <w:sz w:val="24"/>
          <w:highlight w:val="none"/>
          <w:u w:val="single"/>
        </w:rPr>
        <w:t xml:space="preserve">             </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3</w:t>
      </w:r>
      <w:bookmarkStart w:id="89" w:name="_Toc296347158"/>
      <w:bookmarkStart w:id="90" w:name="_Toc296890987"/>
      <w:bookmarkStart w:id="91" w:name="_Toc300934945"/>
      <w:bookmarkStart w:id="92" w:name="_Toc292559364"/>
      <w:bookmarkStart w:id="93" w:name="_Toc296891199"/>
      <w:bookmarkStart w:id="94" w:name="_Toc296346660"/>
      <w:bookmarkStart w:id="95" w:name="_Toc312677988"/>
      <w:bookmarkStart w:id="96" w:name="_Toc304295523"/>
      <w:bookmarkStart w:id="97" w:name="_Toc297048345"/>
      <w:bookmarkStart w:id="98" w:name="_Toc297216151"/>
      <w:bookmarkStart w:id="99" w:name="_Toc297120459"/>
      <w:bookmarkStart w:id="100" w:name="_Toc292559869"/>
      <w:bookmarkStart w:id="101" w:name="_Toc297123492"/>
      <w:bookmarkStart w:id="102" w:name="_Toc303539102"/>
      <w:bookmarkStart w:id="103" w:name="_Toc296944498"/>
      <w:bookmarkStart w:id="104" w:name="_Toc296503159"/>
      <w:r>
        <w:rPr>
          <w:rFonts w:hint="eastAsia" w:ascii="宋体" w:hAnsi="宋体"/>
          <w:b/>
          <w:color w:val="000000"/>
          <w:sz w:val="24"/>
          <w:highlight w:val="none"/>
        </w:rPr>
        <w:t>.5 分包</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3</w:t>
      </w:r>
      <w:bookmarkStart w:id="105" w:name="_Toc296944499"/>
      <w:bookmarkStart w:id="106" w:name="_Toc297120460"/>
      <w:bookmarkStart w:id="107" w:name="_Toc296346661"/>
      <w:bookmarkStart w:id="108" w:name="_Toc296890988"/>
      <w:bookmarkStart w:id="109" w:name="_Toc296891200"/>
      <w:bookmarkStart w:id="110" w:name="_Toc300934946"/>
      <w:bookmarkStart w:id="111" w:name="_Toc297123493"/>
      <w:bookmarkStart w:id="112" w:name="_Toc297216152"/>
      <w:bookmarkStart w:id="113" w:name="_Toc318581158"/>
      <w:bookmarkStart w:id="114" w:name="_Toc296347159"/>
      <w:bookmarkStart w:id="115" w:name="_Toc292559870"/>
      <w:bookmarkStart w:id="116" w:name="_Toc292559365"/>
      <w:bookmarkStart w:id="117" w:name="_Toc304295524"/>
      <w:bookmarkStart w:id="118" w:name="_Toc297048346"/>
      <w:bookmarkStart w:id="119" w:name="_Toc303539103"/>
      <w:bookmarkStart w:id="120" w:name="_Toc312677989"/>
      <w:bookmarkStart w:id="121" w:name="_Toc296503160"/>
      <w:r>
        <w:rPr>
          <w:rFonts w:hint="eastAsia" w:ascii="宋体" w:hAnsi="宋体"/>
          <w:b/>
          <w:color w:val="000000"/>
          <w:sz w:val="24"/>
          <w:highlight w:val="none"/>
        </w:rPr>
        <w:t>.5.1 分包的一般约定</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禁止分包的工程包括：</w:t>
      </w:r>
      <w:r>
        <w:rPr>
          <w:rFonts w:hint="eastAsia" w:ascii="宋体" w:hAnsi="宋体" w:cs="宋体"/>
          <w:color w:val="000000"/>
          <w:sz w:val="24"/>
          <w:highlight w:val="none"/>
          <w:u w:val="single"/>
        </w:rPr>
        <w:t>本工程不得分包</w:t>
      </w:r>
      <w:r>
        <w:rPr>
          <w:rFonts w:hint="eastAsia" w:ascii="宋体" w:hAnsi="宋体"/>
          <w:color w:val="000000"/>
          <w:sz w:val="24"/>
          <w:highlight w:val="none"/>
          <w:u w:val="single"/>
        </w:rPr>
        <w:t xml:space="preserve">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主体结构、关键性工作的范围：</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olor w:val="000000"/>
          <w:sz w:val="24"/>
          <w:highlight w:val="none"/>
        </w:rPr>
        <w:t>。</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3</w:t>
      </w:r>
      <w:bookmarkStart w:id="122" w:name="_Toc318581159"/>
      <w:bookmarkStart w:id="123" w:name="_Toc312677990"/>
      <w:r>
        <w:rPr>
          <w:rFonts w:hint="eastAsia" w:ascii="宋体" w:hAnsi="宋体"/>
          <w:b/>
          <w:color w:val="000000"/>
          <w:sz w:val="24"/>
          <w:highlight w:val="none"/>
        </w:rPr>
        <w:t>.5.2分包的确定</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允许分包的专业工程包括：</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其他关于分包的约定：</w:t>
      </w:r>
      <w:r>
        <w:rPr>
          <w:rFonts w:hint="eastAsia" w:ascii="宋体" w:hAnsi="宋体"/>
          <w:color w:val="000000"/>
          <w:sz w:val="24"/>
          <w:highlight w:val="none"/>
          <w:u w:val="single"/>
        </w:rPr>
        <w:t xml:space="preserve">  /   </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3.5.4 分包合同价款</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关于分包合同价款支付的约定：</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olor w:val="000000"/>
          <w:sz w:val="24"/>
          <w:highlight w:val="none"/>
        </w:rPr>
        <w:t>。</w:t>
      </w:r>
      <w:bookmarkEnd w:id="122"/>
      <w:bookmarkEnd w:id="123"/>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3.6 工程照管与成品、半成品保护</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承包人负责照管工程及工程相关的材料、工程设备的起始时间:</w:t>
      </w:r>
      <w:r>
        <w:rPr>
          <w:rFonts w:hint="eastAsia" w:ascii="宋体" w:hAnsi="宋体"/>
          <w:color w:val="000000"/>
          <w:sz w:val="24"/>
          <w:highlight w:val="none"/>
          <w:u w:val="single"/>
        </w:rPr>
        <w:t xml:space="preserve"> 设备、人员进场至验收交付使用前由承包人负责保修 </w:t>
      </w:r>
    </w:p>
    <w:p>
      <w:pPr>
        <w:pageBreakBefore w:val="0"/>
        <w:kinsoku/>
        <w:topLinePunct w:val="0"/>
        <w:bidi w:val="0"/>
        <w:spacing w:line="360" w:lineRule="auto"/>
        <w:ind w:firstLine="482" w:firstLineChars="200"/>
        <w:rPr>
          <w:rFonts w:hint="eastAsia" w:ascii="宋体" w:hAnsi="宋体"/>
          <w:b/>
          <w:color w:val="000000"/>
          <w:sz w:val="24"/>
          <w:highlight w:val="none"/>
        </w:rPr>
      </w:pPr>
      <w:bookmarkStart w:id="124" w:name="_Toc351203636"/>
      <w:r>
        <w:rPr>
          <w:rFonts w:hint="eastAsia" w:ascii="宋体" w:hAnsi="宋体"/>
          <w:b/>
          <w:color w:val="000000"/>
          <w:sz w:val="24"/>
          <w:highlight w:val="none"/>
        </w:rPr>
        <w:t>3.7 履约担保</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承包人是否提供履约担保：</w:t>
      </w:r>
      <w:r>
        <w:rPr>
          <w:rFonts w:hint="eastAsia" w:ascii="宋体" w:hAnsi="宋体"/>
          <w:color w:val="000000"/>
          <w:sz w:val="24"/>
          <w:highlight w:val="none"/>
          <w:u w:val="single"/>
        </w:rPr>
        <w:t xml:space="preserve">  </w:t>
      </w:r>
      <w:r>
        <w:rPr>
          <w:rFonts w:hint="eastAsia" w:ascii="宋体" w:hAnsi="宋体"/>
          <w:b/>
          <w:color w:val="000000"/>
          <w:sz w:val="24"/>
          <w:highlight w:val="none"/>
          <w:u w:val="single"/>
        </w:rPr>
        <w:t>否</w:t>
      </w:r>
      <w:r>
        <w:rPr>
          <w:rFonts w:hint="eastAsia" w:ascii="宋体" w:hAnsi="宋体"/>
          <w:color w:val="000000"/>
          <w:sz w:val="24"/>
          <w:highlight w:val="none"/>
          <w:u w:val="single"/>
        </w:rPr>
        <w:t xml:space="preserve">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b/>
          <w:color w:val="000000"/>
          <w:sz w:val="24"/>
          <w:highlight w:val="none"/>
        </w:rPr>
      </w:pPr>
      <w:r>
        <w:rPr>
          <w:rFonts w:hint="eastAsia" w:ascii="宋体" w:hAnsi="宋体"/>
          <w:color w:val="000000"/>
          <w:sz w:val="24"/>
          <w:highlight w:val="none"/>
        </w:rPr>
        <w:t>承包人提供履约担保的形式、金额及期限的：</w:t>
      </w:r>
      <w:r>
        <w:rPr>
          <w:rFonts w:hint="eastAsia" w:ascii="宋体" w:hAnsi="宋体"/>
          <w:color w:val="000000"/>
          <w:sz w:val="24"/>
          <w:highlight w:val="none"/>
          <w:u w:val="single"/>
        </w:rPr>
        <w:t xml:space="preserve">   </w:t>
      </w:r>
      <w:r>
        <w:rPr>
          <w:rFonts w:hint="eastAsia" w:ascii="宋体" w:hAnsi="宋体"/>
          <w:b/>
          <w:color w:val="000000"/>
          <w:sz w:val="24"/>
          <w:highlight w:val="none"/>
          <w:u w:val="single"/>
        </w:rPr>
        <w:t xml:space="preserve">/  </w:t>
      </w:r>
      <w:r>
        <w:rPr>
          <w:rFonts w:hint="eastAsia" w:ascii="宋体" w:hAnsi="宋体"/>
          <w:b/>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4</w:t>
      </w:r>
      <w:bookmarkStart w:id="125" w:name="_Toc296346663"/>
      <w:bookmarkStart w:id="126" w:name="_Toc292559366"/>
      <w:bookmarkStart w:id="127" w:name="_Toc267251413"/>
      <w:bookmarkStart w:id="128" w:name="_Toc296890990"/>
      <w:bookmarkStart w:id="129" w:name="_Toc296944501"/>
      <w:bookmarkStart w:id="130" w:name="_Toc297048348"/>
      <w:bookmarkStart w:id="131" w:name="_Toc292559871"/>
      <w:bookmarkStart w:id="132" w:name="_Toc297120462"/>
      <w:bookmarkStart w:id="133" w:name="_Toc296503162"/>
      <w:bookmarkStart w:id="134" w:name="_Toc296347161"/>
      <w:bookmarkStart w:id="135" w:name="_Toc296891202"/>
      <w:r>
        <w:rPr>
          <w:rFonts w:hint="eastAsia" w:ascii="宋体" w:hAnsi="宋体"/>
          <w:b/>
          <w:color w:val="000000"/>
          <w:sz w:val="24"/>
          <w:highlight w:val="none"/>
        </w:rPr>
        <w:t>. 监</w:t>
      </w:r>
      <w:bookmarkEnd w:id="125"/>
      <w:bookmarkEnd w:id="126"/>
      <w:bookmarkEnd w:id="127"/>
      <w:bookmarkEnd w:id="128"/>
      <w:bookmarkEnd w:id="129"/>
      <w:bookmarkEnd w:id="130"/>
      <w:bookmarkEnd w:id="131"/>
      <w:bookmarkEnd w:id="132"/>
      <w:bookmarkEnd w:id="133"/>
      <w:bookmarkEnd w:id="134"/>
      <w:bookmarkEnd w:id="135"/>
      <w:r>
        <w:rPr>
          <w:rFonts w:hint="eastAsia" w:ascii="宋体" w:hAnsi="宋体"/>
          <w:b/>
          <w:color w:val="000000"/>
          <w:sz w:val="24"/>
          <w:highlight w:val="none"/>
        </w:rPr>
        <w:t>理人</w:t>
      </w:r>
      <w:bookmarkEnd w:id="124"/>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4.1监理人的一般规定</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关于监理人的监理内容：</w:t>
      </w:r>
      <w:r>
        <w:rPr>
          <w:rFonts w:hint="eastAsia" w:ascii="宋体" w:hAnsi="宋体"/>
          <w:color w:val="000000"/>
          <w:sz w:val="24"/>
          <w:highlight w:val="none"/>
          <w:u w:val="single"/>
        </w:rPr>
        <w:t xml:space="preserve">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关于监理人的监理权限：</w:t>
      </w:r>
      <w:r>
        <w:rPr>
          <w:rFonts w:hint="eastAsia" w:ascii="宋体" w:hAnsi="宋体"/>
          <w:color w:val="000000"/>
          <w:sz w:val="24"/>
          <w:highlight w:val="none"/>
          <w:u w:val="single"/>
        </w:rPr>
        <w:t xml:space="preserve">                                          </w:t>
      </w:r>
      <w:r>
        <w:rPr>
          <w:rFonts w:hint="eastAsia" w:ascii="宋体" w:hAnsi="宋体"/>
          <w:color w:val="000000"/>
          <w:sz w:val="24"/>
          <w:highlight w:val="none"/>
        </w:rPr>
        <w:t xml:space="preserve">。 </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关于监理人在施工现场的办公场所、生活场所的提供和费用承担的约定</w:t>
      </w:r>
      <w:r>
        <w:rPr>
          <w:rFonts w:hint="eastAsia" w:ascii="宋体" w:hAnsi="宋体"/>
          <w:color w:val="000000"/>
          <w:sz w:val="24"/>
          <w:highlight w:val="none"/>
          <w:u w:val="single"/>
        </w:rPr>
        <w:t xml:space="preserve">：           </w:t>
      </w:r>
      <w:r>
        <w:rPr>
          <w:rFonts w:hint="eastAsia" w:ascii="宋体" w:hAnsi="宋体"/>
          <w:color w:val="000000"/>
          <w:sz w:val="24"/>
          <w:highlight w:val="none"/>
        </w:rPr>
        <w:t xml:space="preserve"> 。</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4.2 监理人员</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总监理工程师：</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姓    名：</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职    务：</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监理工程师执业资格证书号：</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联系电话：</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电子信箱：</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通信地址：</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关于监理人的其他约定：</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s="宋体"/>
          <w:color w:val="000000"/>
          <w:sz w:val="24"/>
          <w:highlight w:val="none"/>
          <w:u w:val="single"/>
        </w:rPr>
        <w:t></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4.4 商定或确定</w:t>
      </w:r>
      <w:bookmarkStart w:id="136" w:name="_Toc267251418"/>
    </w:p>
    <w:p>
      <w:pPr>
        <w:pageBreakBefore w:val="0"/>
        <w:kinsoku/>
        <w:topLinePunct w:val="0"/>
        <w:bidi w:val="0"/>
        <w:spacing w:line="360" w:lineRule="auto"/>
        <w:ind w:firstLine="456" w:firstLineChars="200"/>
        <w:rPr>
          <w:rFonts w:hint="eastAsia" w:ascii="宋体" w:hAnsi="宋体"/>
          <w:color w:val="000000"/>
          <w:sz w:val="24"/>
          <w:highlight w:val="none"/>
        </w:rPr>
      </w:pPr>
      <w:r>
        <w:rPr>
          <w:rFonts w:hint="eastAsia" w:ascii="宋体" w:hAnsi="宋体"/>
          <w:color w:val="000000"/>
          <w:spacing w:val="-6"/>
          <w:sz w:val="24"/>
          <w:highlight w:val="none"/>
        </w:rPr>
        <w:t>在发包人和承包人不能通过协商达成一致意见时，发包人授权监理人对以下事项进行确定</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（1）</w:t>
      </w:r>
      <w:r>
        <w:rPr>
          <w:rFonts w:hint="eastAsia" w:ascii="宋体" w:hAnsi="宋体"/>
          <w:color w:val="000000"/>
          <w:sz w:val="24"/>
          <w:highlight w:val="none"/>
          <w:u w:val="single"/>
        </w:rPr>
        <w:t xml:space="preserve">                                                          </w:t>
      </w:r>
      <w:r>
        <w:rPr>
          <w:rFonts w:hint="eastAsia" w:ascii="宋体" w:hAnsi="宋体"/>
          <w:color w:val="000000"/>
          <w:sz w:val="24"/>
          <w:highlight w:val="none"/>
        </w:rPr>
        <w:t xml:space="preserve"> ；</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（2）</w:t>
      </w:r>
      <w:r>
        <w:rPr>
          <w:rFonts w:hint="eastAsia" w:ascii="宋体" w:hAnsi="宋体"/>
          <w:color w:val="000000"/>
          <w:sz w:val="24"/>
          <w:highlight w:val="none"/>
          <w:u w:val="single"/>
        </w:rPr>
        <w:t xml:space="preserve">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（3）</w:t>
      </w:r>
      <w:r>
        <w:rPr>
          <w:rFonts w:hint="eastAsia" w:ascii="宋体" w:hAnsi="宋体"/>
          <w:color w:val="000000"/>
          <w:sz w:val="24"/>
          <w:highlight w:val="none"/>
          <w:u w:val="single"/>
        </w:rPr>
        <w:t xml:space="preserve">                                                            </w:t>
      </w:r>
      <w:r>
        <w:rPr>
          <w:rFonts w:hint="eastAsia" w:ascii="宋体" w:hAnsi="宋体"/>
          <w:color w:val="000000"/>
          <w:sz w:val="24"/>
          <w:highlight w:val="none"/>
        </w:rPr>
        <w:t>。</w:t>
      </w:r>
      <w:bookmarkStart w:id="137" w:name="_Toc351203637"/>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5</w:t>
      </w:r>
      <w:bookmarkEnd w:id="136"/>
      <w:bookmarkStart w:id="138" w:name="_Toc297048349"/>
      <w:bookmarkStart w:id="139" w:name="_Toc296891203"/>
      <w:bookmarkStart w:id="140" w:name="_Toc292559872"/>
      <w:bookmarkStart w:id="141" w:name="_Toc296347162"/>
      <w:bookmarkStart w:id="142" w:name="_Toc296890991"/>
      <w:bookmarkStart w:id="143" w:name="_Toc296503163"/>
      <w:bookmarkStart w:id="144" w:name="_Toc292559367"/>
      <w:bookmarkStart w:id="145" w:name="_Toc296944502"/>
      <w:bookmarkStart w:id="146" w:name="_Toc297120463"/>
      <w:bookmarkStart w:id="147" w:name="_Toc296346664"/>
      <w:r>
        <w:rPr>
          <w:rFonts w:hint="eastAsia" w:ascii="宋体" w:hAnsi="宋体"/>
          <w:b/>
          <w:color w:val="000000"/>
          <w:sz w:val="24"/>
          <w:highlight w:val="none"/>
        </w:rPr>
        <w:t>. 工程质量</w:t>
      </w:r>
      <w:bookmarkEnd w:id="137"/>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5.1 质量要求</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5</w:t>
      </w:r>
      <w:bookmarkStart w:id="148" w:name="_Toc300934949"/>
      <w:bookmarkStart w:id="149" w:name="_Toc304295527"/>
      <w:bookmarkStart w:id="150" w:name="_Toc318581164"/>
      <w:bookmarkStart w:id="151" w:name="_Toc297123496"/>
      <w:bookmarkStart w:id="152" w:name="_Toc303539106"/>
      <w:bookmarkStart w:id="153" w:name="_Toc297216155"/>
      <w:bookmarkStart w:id="154" w:name="_Toc312677997"/>
      <w:r>
        <w:rPr>
          <w:rFonts w:hint="eastAsia" w:ascii="宋体" w:hAnsi="宋体"/>
          <w:color w:val="000000"/>
          <w:sz w:val="24"/>
          <w:highlight w:val="none"/>
        </w:rPr>
        <w:t>.1.1 特殊质量标准和要求：</w:t>
      </w:r>
      <w:r>
        <w:rPr>
          <w:rFonts w:hint="eastAsia" w:ascii="宋体" w:hAnsi="宋体"/>
          <w:color w:val="000000"/>
          <w:sz w:val="24"/>
          <w:highlight w:val="none"/>
          <w:u w:val="single"/>
        </w:rPr>
        <w:t xml:space="preserve">    无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u w:val="single"/>
        </w:rPr>
      </w:pPr>
      <w:r>
        <w:rPr>
          <w:rFonts w:hint="eastAsia" w:ascii="宋体" w:hAnsi="宋体"/>
          <w:color w:val="000000"/>
          <w:sz w:val="24"/>
          <w:highlight w:val="none"/>
        </w:rPr>
        <w:t>关于工程奖项的约定：</w:t>
      </w:r>
      <w:r>
        <w:rPr>
          <w:rFonts w:hint="eastAsia" w:ascii="宋体" w:hAnsi="宋体"/>
          <w:color w:val="000000"/>
          <w:sz w:val="24"/>
          <w:highlight w:val="none"/>
          <w:u w:val="single"/>
        </w:rPr>
        <w:t xml:space="preserve">      无     。 </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5.3 隐蔽工程检查</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5.3.2</w:t>
      </w:r>
      <w:r>
        <w:rPr>
          <w:rFonts w:hint="eastAsia" w:ascii="宋体" w:hAnsi="宋体"/>
          <w:color w:val="000000"/>
          <w:spacing w:val="-8"/>
          <w:sz w:val="24"/>
          <w:highlight w:val="none"/>
        </w:rPr>
        <w:t>承包人提前通知监理人隐蔽工程检查的期限的约定</w:t>
      </w:r>
      <w:r>
        <w:rPr>
          <w:rFonts w:hint="eastAsia" w:ascii="宋体" w:hAnsi="宋体"/>
          <w:color w:val="000000"/>
          <w:sz w:val="24"/>
          <w:highlight w:val="none"/>
        </w:rPr>
        <w:t>：</w:t>
      </w:r>
      <w:r>
        <w:rPr>
          <w:rFonts w:hint="eastAsia" w:ascii="宋体" w:hAnsi="宋体"/>
          <w:color w:val="000000"/>
          <w:sz w:val="24"/>
          <w:highlight w:val="none"/>
          <w:u w:val="single"/>
        </w:rPr>
        <w:t xml:space="preserve"> 48小时前书面通知监理人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监理人不能按时进行检查时，应提前</w:t>
      </w:r>
      <w:r>
        <w:rPr>
          <w:rFonts w:hint="eastAsia" w:ascii="宋体" w:hAnsi="宋体"/>
          <w:color w:val="000000"/>
          <w:sz w:val="24"/>
          <w:highlight w:val="none"/>
          <w:u w:val="single"/>
        </w:rPr>
        <w:t xml:space="preserve"> 24</w:t>
      </w:r>
      <w:r>
        <w:rPr>
          <w:rFonts w:hint="eastAsia" w:ascii="宋体" w:hAnsi="宋体"/>
          <w:color w:val="000000"/>
          <w:sz w:val="24"/>
          <w:highlight w:val="none"/>
        </w:rPr>
        <w:t>小时提交书面延期要求。</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关于延期最长不得超过：</w:t>
      </w:r>
      <w:r>
        <w:rPr>
          <w:rFonts w:hint="eastAsia" w:ascii="宋体" w:hAnsi="宋体"/>
          <w:color w:val="000000"/>
          <w:sz w:val="24"/>
          <w:highlight w:val="none"/>
          <w:u w:val="single"/>
        </w:rPr>
        <w:t xml:space="preserve"> 48 </w:t>
      </w:r>
      <w:r>
        <w:rPr>
          <w:rFonts w:hint="eastAsia" w:ascii="宋体" w:hAnsi="宋体"/>
          <w:color w:val="000000"/>
          <w:sz w:val="24"/>
          <w:highlight w:val="none"/>
        </w:rPr>
        <w:t>小时。</w:t>
      </w:r>
      <w:bookmarkStart w:id="155" w:name="_Toc351203638"/>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6. 安全文明施工与环境保护</w:t>
      </w:r>
      <w:bookmarkEnd w:id="155"/>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6.1安全文明施工</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6.1.1 项目安全生产的达标目标及相应事项的约定：</w:t>
      </w:r>
      <w:r>
        <w:rPr>
          <w:rFonts w:hint="eastAsia" w:ascii="宋体" w:hAnsi="宋体"/>
          <w:color w:val="000000"/>
          <w:sz w:val="24"/>
          <w:highlight w:val="none"/>
          <w:u w:val="single"/>
        </w:rPr>
        <w:t xml:space="preserve"> 要求达到《建筑施工安全检查标准》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u w:val="single"/>
        </w:rPr>
      </w:pPr>
      <w:r>
        <w:rPr>
          <w:rFonts w:hint="eastAsia" w:ascii="宋体" w:hAnsi="宋体"/>
          <w:color w:val="000000"/>
          <w:sz w:val="24"/>
          <w:highlight w:val="none"/>
        </w:rPr>
        <w:t>6.1.4 关于治安保卫的特别约定：</w:t>
      </w:r>
      <w:r>
        <w:rPr>
          <w:rFonts w:hint="eastAsia" w:ascii="宋体" w:hAnsi="宋体"/>
          <w:color w:val="000000"/>
          <w:sz w:val="24"/>
          <w:highlight w:val="none"/>
          <w:u w:val="single"/>
        </w:rPr>
        <w:t xml:space="preserve"> 按通用条款执行 </w:t>
      </w:r>
      <w:r>
        <w:rPr>
          <w:rFonts w:hint="eastAsia" w:ascii="宋体" w:hAnsi="宋体"/>
          <w:color w:val="000000"/>
          <w:sz w:val="24"/>
          <w:highlight w:val="none"/>
        </w:rPr>
        <w:t>。</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关于编制施工场地治安管理计划的约定：</w:t>
      </w:r>
      <w:r>
        <w:rPr>
          <w:rFonts w:hint="eastAsia" w:ascii="宋体" w:hAnsi="宋体"/>
          <w:color w:val="000000"/>
          <w:sz w:val="24"/>
          <w:highlight w:val="none"/>
          <w:u w:val="single"/>
        </w:rPr>
        <w:t xml:space="preserve"> 开工前提供施工场地治安管理计划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6.1.5 文明施工</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合同当事人对文明施工的要求：</w:t>
      </w:r>
      <w:r>
        <w:rPr>
          <w:rFonts w:hint="eastAsia" w:ascii="宋体" w:hAnsi="宋体"/>
          <w:color w:val="000000"/>
          <w:sz w:val="24"/>
          <w:highlight w:val="none"/>
          <w:u w:val="single"/>
        </w:rPr>
        <w:t xml:space="preserve">  达到《建筑施工现场环境与卫生标准》  </w:t>
      </w:r>
      <w:r>
        <w:rPr>
          <w:rFonts w:hint="eastAsia" w:ascii="宋体" w:hAnsi="宋体"/>
          <w:color w:val="000000"/>
          <w:sz w:val="24"/>
          <w:highlight w:val="none"/>
        </w:rPr>
        <w:t>。</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6.1.6 关于安全文明施工费支付比例和支付期限的约定：</w:t>
      </w:r>
      <w:r>
        <w:rPr>
          <w:rFonts w:hint="eastAsia" w:ascii="宋体" w:hAnsi="宋体"/>
          <w:color w:val="000000"/>
          <w:sz w:val="24"/>
          <w:highlight w:val="none"/>
          <w:u w:val="single"/>
        </w:rPr>
        <w:t xml:space="preserve"> 本合同生效后7天内按海南省现行规定标准执行。</w:t>
      </w:r>
    </w:p>
    <w:bookmarkEnd w:id="148"/>
    <w:bookmarkEnd w:id="149"/>
    <w:bookmarkEnd w:id="150"/>
    <w:bookmarkEnd w:id="151"/>
    <w:bookmarkEnd w:id="152"/>
    <w:bookmarkEnd w:id="153"/>
    <w:bookmarkEnd w:id="154"/>
    <w:p>
      <w:pPr>
        <w:pageBreakBefore w:val="0"/>
        <w:kinsoku/>
        <w:topLinePunct w:val="0"/>
        <w:bidi w:val="0"/>
        <w:spacing w:line="360" w:lineRule="auto"/>
        <w:ind w:firstLine="482" w:firstLineChars="200"/>
        <w:rPr>
          <w:rFonts w:hint="eastAsia" w:ascii="宋体" w:hAnsi="宋体"/>
          <w:b/>
          <w:color w:val="000000"/>
          <w:sz w:val="24"/>
          <w:highlight w:val="none"/>
        </w:rPr>
      </w:pPr>
      <w:bookmarkStart w:id="156" w:name="_Toc351203639"/>
      <w:r>
        <w:rPr>
          <w:rFonts w:hint="eastAsia" w:ascii="宋体" w:hAnsi="宋体"/>
          <w:b/>
          <w:color w:val="000000"/>
          <w:sz w:val="24"/>
          <w:highlight w:val="none"/>
        </w:rPr>
        <w:t>7. 工期和进度</w:t>
      </w:r>
      <w:bookmarkEnd w:id="156"/>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7.1 施工组织设计</w:t>
      </w:r>
    </w:p>
    <w:p>
      <w:pPr>
        <w:pageBreakBefore w:val="0"/>
        <w:kinsoku/>
        <w:topLinePunct w:val="0"/>
        <w:bidi w:val="0"/>
        <w:spacing w:line="360" w:lineRule="auto"/>
        <w:ind w:firstLine="480" w:firstLineChars="200"/>
        <w:rPr>
          <w:rFonts w:hint="eastAsia" w:ascii="宋体" w:hAnsi="宋体"/>
          <w:color w:val="000000"/>
          <w:sz w:val="24"/>
          <w:highlight w:val="none"/>
          <w:u w:val="single"/>
        </w:rPr>
      </w:pPr>
      <w:r>
        <w:rPr>
          <w:rFonts w:hint="eastAsia" w:ascii="宋体" w:hAnsi="宋体"/>
          <w:color w:val="000000"/>
          <w:sz w:val="24"/>
          <w:highlight w:val="none"/>
        </w:rPr>
        <w:t>7.1.1 合同当事人约定的施工组织设计应包括的其他内容：</w:t>
      </w:r>
      <w:r>
        <w:rPr>
          <w:rFonts w:hint="eastAsia" w:ascii="宋体" w:hAnsi="宋体"/>
          <w:color w:val="000000"/>
          <w:sz w:val="24"/>
          <w:highlight w:val="none"/>
          <w:u w:val="single"/>
        </w:rPr>
        <w:t xml:space="preserve">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7.1.2 施工组织设计的提交和修改</w:t>
      </w:r>
    </w:p>
    <w:p>
      <w:pPr>
        <w:pageBreakBefore w:val="0"/>
        <w:kinsoku/>
        <w:topLinePunct w:val="0"/>
        <w:bidi w:val="0"/>
        <w:spacing w:line="360" w:lineRule="auto"/>
        <w:ind w:firstLine="480" w:firstLineChars="200"/>
        <w:rPr>
          <w:rFonts w:hint="eastAsia" w:ascii="宋体" w:hAnsi="宋体"/>
          <w:color w:val="000000"/>
          <w:sz w:val="24"/>
          <w:highlight w:val="none"/>
          <w:u w:val="single"/>
        </w:rPr>
      </w:pPr>
      <w:r>
        <w:rPr>
          <w:rFonts w:hint="eastAsia" w:ascii="宋体" w:hAnsi="宋体"/>
          <w:color w:val="000000"/>
          <w:sz w:val="24"/>
          <w:highlight w:val="none"/>
        </w:rPr>
        <w:t>承包人提交详细施工组织设计的期限的约定：</w:t>
      </w:r>
      <w:r>
        <w:rPr>
          <w:rFonts w:hint="eastAsia" w:ascii="宋体" w:hAnsi="宋体"/>
          <w:color w:val="000000"/>
          <w:sz w:val="24"/>
          <w:highlight w:val="none"/>
          <w:u w:val="single"/>
        </w:rPr>
        <w:t xml:space="preserve">  开工前</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发包人和监理人在收到详细的施工组织设计后确认或提出修改意见的期限：</w:t>
      </w:r>
      <w:r>
        <w:rPr>
          <w:rFonts w:hint="eastAsia" w:ascii="宋体" w:hAnsi="宋体"/>
          <w:color w:val="000000"/>
          <w:sz w:val="24"/>
          <w:highlight w:val="none"/>
          <w:u w:val="single"/>
        </w:rPr>
        <w:t xml:space="preserve"> 7天内   </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7</w:t>
      </w:r>
      <w:bookmarkStart w:id="157" w:name="_Toc300934966"/>
      <w:bookmarkStart w:id="158" w:name="_Toc297216173"/>
      <w:bookmarkStart w:id="159" w:name="_Toc304295541"/>
      <w:bookmarkStart w:id="160" w:name="_Toc297123514"/>
      <w:bookmarkStart w:id="161" w:name="_Toc312678005"/>
      <w:bookmarkStart w:id="162" w:name="_Toc303539123"/>
      <w:bookmarkStart w:id="163" w:name="_Toc312677479"/>
      <w:r>
        <w:rPr>
          <w:rFonts w:hint="eastAsia" w:ascii="宋体" w:hAnsi="宋体"/>
          <w:b/>
          <w:color w:val="000000"/>
          <w:sz w:val="24"/>
          <w:highlight w:val="none"/>
        </w:rPr>
        <w:t>.2 施工进度计划</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7.2.2 施工进度计划的修订</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发包人和监理人在收到修订的施工进度计划后确认或提出修改意见的期限：</w:t>
      </w:r>
      <w:r>
        <w:rPr>
          <w:rFonts w:hint="eastAsia" w:ascii="宋体" w:hAnsi="宋体"/>
          <w:color w:val="000000"/>
          <w:sz w:val="24"/>
          <w:highlight w:val="none"/>
          <w:u w:val="single"/>
        </w:rPr>
        <w:t>收到7天内</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7.3 开工</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7.3.1 开工准备</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关于承包人提交工程开工报审表的期限：</w:t>
      </w:r>
      <w:r>
        <w:rPr>
          <w:rFonts w:hint="eastAsia" w:ascii="宋体" w:hAnsi="宋体"/>
          <w:color w:val="000000"/>
          <w:sz w:val="24"/>
          <w:highlight w:val="none"/>
          <w:u w:val="single"/>
        </w:rPr>
        <w:t xml:space="preserve"> 合同签订后，开工前 </w:t>
      </w:r>
      <w:r>
        <w:rPr>
          <w:rFonts w:hint="eastAsia" w:ascii="宋体" w:hAnsi="宋体"/>
          <w:color w:val="000000"/>
          <w:sz w:val="24"/>
          <w:highlight w:val="none"/>
        </w:rPr>
        <w:t>。</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关于发包人应完成的其他开工准备工作及期限：</w:t>
      </w:r>
      <w:r>
        <w:rPr>
          <w:rFonts w:hint="eastAsia" w:ascii="宋体" w:hAnsi="宋体"/>
          <w:color w:val="000000"/>
          <w:sz w:val="24"/>
          <w:highlight w:val="none"/>
          <w:u w:val="single"/>
        </w:rPr>
        <w:t xml:space="preserve">  / </w:t>
      </w:r>
      <w:r>
        <w:rPr>
          <w:rFonts w:hint="eastAsia" w:ascii="宋体" w:hAnsi="宋体"/>
          <w:color w:val="000000"/>
          <w:sz w:val="24"/>
          <w:highlight w:val="none"/>
        </w:rPr>
        <w:t>。</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关于承包人应完成的其他开工准备工作及期限：</w:t>
      </w:r>
      <w:r>
        <w:rPr>
          <w:rFonts w:hint="eastAsia" w:ascii="宋体" w:hAnsi="宋体"/>
          <w:color w:val="000000"/>
          <w:sz w:val="24"/>
          <w:highlight w:val="none"/>
          <w:u w:val="single"/>
        </w:rPr>
        <w:t xml:space="preserve"> /  </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7.3.2开工通知</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因发包人原因造成监理人未能在计划开工日期之日起</w:t>
      </w:r>
      <w:r>
        <w:rPr>
          <w:rFonts w:hint="eastAsia" w:ascii="宋体" w:hAnsi="宋体"/>
          <w:color w:val="000000"/>
          <w:sz w:val="24"/>
          <w:highlight w:val="none"/>
          <w:u w:val="single"/>
        </w:rPr>
        <w:t xml:space="preserve">  7   </w:t>
      </w:r>
      <w:r>
        <w:rPr>
          <w:rFonts w:hint="eastAsia" w:ascii="宋体" w:hAnsi="宋体"/>
          <w:color w:val="000000"/>
          <w:sz w:val="24"/>
          <w:highlight w:val="none"/>
        </w:rPr>
        <w:t>天内发出开工通知的，承包人有权提出价格调整要求，或者解除合同。</w:t>
      </w:r>
      <w:bookmarkEnd w:id="157"/>
      <w:bookmarkEnd w:id="158"/>
      <w:bookmarkEnd w:id="159"/>
      <w:bookmarkEnd w:id="160"/>
      <w:bookmarkEnd w:id="161"/>
      <w:bookmarkEnd w:id="162"/>
      <w:bookmarkEnd w:id="163"/>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7.4 测量放线</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7.4.1发包人通过监理人向承包人提供测量基准点、基准线和水准点及其书面资料的期限：</w:t>
      </w:r>
      <w:r>
        <w:rPr>
          <w:rFonts w:hint="eastAsia" w:ascii="宋体" w:hAnsi="宋体"/>
          <w:color w:val="000000"/>
          <w:sz w:val="24"/>
          <w:highlight w:val="none"/>
          <w:u w:val="single"/>
        </w:rPr>
        <w:t xml:space="preserve"> 开工前10天  </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7</w:t>
      </w:r>
      <w:bookmarkStart w:id="164" w:name="_Toc312677484"/>
      <w:bookmarkStart w:id="165" w:name="_Toc304295546"/>
      <w:bookmarkStart w:id="166" w:name="_Toc312678010"/>
      <w:bookmarkStart w:id="167" w:name="_Toc303539125"/>
      <w:bookmarkStart w:id="168" w:name="_Toc297123516"/>
      <w:bookmarkStart w:id="169" w:name="_Toc300934968"/>
      <w:bookmarkStart w:id="170" w:name="_Toc297216175"/>
      <w:r>
        <w:rPr>
          <w:rFonts w:hint="eastAsia" w:ascii="宋体" w:hAnsi="宋体"/>
          <w:b/>
          <w:color w:val="000000"/>
          <w:sz w:val="24"/>
          <w:highlight w:val="none"/>
        </w:rPr>
        <w:t>.5 工期延误</w:t>
      </w:r>
      <w:bookmarkEnd w:id="164"/>
      <w:bookmarkEnd w:id="165"/>
      <w:bookmarkEnd w:id="166"/>
      <w:bookmarkEnd w:id="167"/>
      <w:bookmarkEnd w:id="168"/>
      <w:bookmarkEnd w:id="169"/>
      <w:bookmarkEnd w:id="170"/>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7.5.1 因发包人原因导致工期延误</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（7）因发包人原因导致工期延误的其他情形：</w:t>
      </w:r>
      <w:r>
        <w:rPr>
          <w:rFonts w:hint="eastAsia" w:ascii="宋体" w:hAnsi="宋体"/>
          <w:color w:val="000000"/>
          <w:sz w:val="24"/>
          <w:highlight w:val="none"/>
          <w:u w:val="single"/>
        </w:rPr>
        <w:t xml:space="preserve"> 甲供设备与材料不依约提供时。 </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7.5.2 因承包人原因导致工期延误</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因承包人原因造成工期延误，逾期竣工违约金的计算方法为：</w:t>
      </w:r>
      <w:r>
        <w:rPr>
          <w:rFonts w:hint="eastAsia" w:ascii="宋体" w:hAnsi="宋体"/>
          <w:color w:val="000000"/>
          <w:sz w:val="24"/>
          <w:highlight w:val="none"/>
          <w:u w:val="single"/>
        </w:rPr>
        <w:t xml:space="preserve">   </w:t>
      </w:r>
      <w:r>
        <w:rPr>
          <w:rFonts w:hint="eastAsia" w:ascii="宋体" w:hAnsi="宋体"/>
          <w:color w:val="000000"/>
          <w:highlight w:val="none"/>
          <w:u w:val="single"/>
        </w:rPr>
        <w:t xml:space="preserve">/   </w:t>
      </w:r>
      <w:r>
        <w:rPr>
          <w:rFonts w:hint="eastAsia" w:ascii="宋体" w:hAnsi="宋体"/>
          <w:color w:val="000000"/>
          <w:sz w:val="24"/>
          <w:highlight w:val="none"/>
        </w:rPr>
        <w:t>。</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因承包人原因造成工期延误，逾期竣工违约金的上限：</w:t>
      </w:r>
      <w:r>
        <w:rPr>
          <w:rFonts w:hint="eastAsia" w:ascii="宋体" w:hAnsi="宋体"/>
          <w:color w:val="000000"/>
          <w:sz w:val="24"/>
          <w:highlight w:val="none"/>
          <w:u w:val="single"/>
        </w:rPr>
        <w:t xml:space="preserve">   /   </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 xml:space="preserve">7.6 不利物质条件 </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不利物质条件的其他情形和有关约定：</w:t>
      </w:r>
      <w:r>
        <w:rPr>
          <w:rFonts w:hint="eastAsia" w:ascii="宋体" w:hAnsi="宋体"/>
          <w:color w:val="000000"/>
          <w:sz w:val="24"/>
          <w:highlight w:val="none"/>
          <w:u w:val="single"/>
        </w:rPr>
        <w:t xml:space="preserve"> 无 </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7.7异常恶劣的气候条件</w:t>
      </w:r>
    </w:p>
    <w:p>
      <w:pPr>
        <w:pageBreakBefore w:val="0"/>
        <w:kinsoku/>
        <w:topLinePunct w:val="0"/>
        <w:bidi w:val="0"/>
        <w:spacing w:line="360" w:lineRule="auto"/>
        <w:ind w:firstLine="440" w:firstLineChars="200"/>
        <w:rPr>
          <w:rFonts w:hint="eastAsia" w:ascii="宋体" w:hAnsi="宋体"/>
          <w:color w:val="000000"/>
          <w:sz w:val="24"/>
          <w:highlight w:val="none"/>
        </w:rPr>
      </w:pPr>
      <w:r>
        <w:rPr>
          <w:rFonts w:hint="eastAsia" w:ascii="宋体" w:hAnsi="宋体"/>
          <w:color w:val="000000"/>
          <w:spacing w:val="-10"/>
          <w:sz w:val="24"/>
          <w:highlight w:val="none"/>
        </w:rPr>
        <w:t>发包人和承包人同意以下情形视为异常恶劣的气候条件</w:t>
      </w:r>
      <w:r>
        <w:rPr>
          <w:rFonts w:hint="eastAsia" w:ascii="宋体" w:hAnsi="宋体"/>
          <w:color w:val="000000"/>
          <w:sz w:val="24"/>
          <w:highlight w:val="none"/>
        </w:rPr>
        <w:t>：</w:t>
      </w:r>
      <w:r>
        <w:rPr>
          <w:rFonts w:hint="eastAsia" w:ascii="宋体" w:hAnsi="宋体"/>
          <w:b/>
          <w:color w:val="000000"/>
          <w:sz w:val="24"/>
          <w:highlight w:val="none"/>
          <w:u w:val="single"/>
        </w:rPr>
        <w:t>间歇性雨天影响正常施工的天气</w:t>
      </w:r>
      <w:r>
        <w:rPr>
          <w:rFonts w:hint="eastAsia" w:ascii="宋体" w:hAnsi="宋体"/>
          <w:color w:val="000000"/>
          <w:sz w:val="24"/>
          <w:highlight w:val="none"/>
          <w:u w:val="singl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7.9 提前竣工的奖励</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7.9.2提前竣工的奖励：</w:t>
      </w:r>
      <w:r>
        <w:rPr>
          <w:rFonts w:hint="eastAsia" w:ascii="宋体" w:hAnsi="宋体"/>
          <w:color w:val="000000"/>
          <w:highlight w:val="none"/>
          <w:u w:val="single"/>
        </w:rPr>
        <w:t xml:space="preserve">     无 </w:t>
      </w:r>
      <w:r>
        <w:rPr>
          <w:rFonts w:hint="eastAsia" w:ascii="宋体" w:hAnsi="宋体"/>
          <w:color w:val="000000"/>
          <w:sz w:val="24"/>
          <w:highlight w:val="none"/>
          <w:u w:val="single"/>
        </w:rPr>
        <w:t xml:space="preserve">  。</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 xml:space="preserve">8. 材料与设备 </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8.4材料与工程设备的保管与使用</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8.4.1发包人供应的材料设备的保管费用的承担：</w:t>
      </w:r>
      <w:r>
        <w:rPr>
          <w:rFonts w:hint="eastAsia" w:ascii="宋体" w:hAnsi="宋体"/>
          <w:color w:val="000000"/>
          <w:sz w:val="24"/>
          <w:highlight w:val="none"/>
          <w:u w:val="single"/>
        </w:rPr>
        <w:t xml:space="preserve"> 按设备、材料总价的1%，由发包人承担。</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8.6 样品</w:t>
      </w:r>
    </w:p>
    <w:p>
      <w:pPr>
        <w:pageBreakBefore w:val="0"/>
        <w:kinsoku/>
        <w:topLinePunct w:val="0"/>
        <w:autoSpaceDE w:val="0"/>
        <w:autoSpaceDN w:val="0"/>
        <w:bidi w:val="0"/>
        <w:adjustRightInd w:val="0"/>
        <w:spacing w:line="360" w:lineRule="auto"/>
        <w:ind w:firstLine="482" w:firstLineChars="200"/>
        <w:rPr>
          <w:rFonts w:hint="eastAsia" w:ascii="宋体" w:hAnsi="宋体"/>
          <w:b/>
          <w:color w:val="000000"/>
          <w:kern w:val="0"/>
          <w:sz w:val="24"/>
          <w:highlight w:val="none"/>
        </w:rPr>
      </w:pPr>
      <w:r>
        <w:rPr>
          <w:rFonts w:hint="eastAsia" w:ascii="宋体" w:hAnsi="宋体"/>
          <w:b/>
          <w:color w:val="000000"/>
          <w:kern w:val="0"/>
          <w:sz w:val="24"/>
          <w:highlight w:val="none"/>
        </w:rPr>
        <w:t>8.6.1 样品的报送与封存</w:t>
      </w:r>
    </w:p>
    <w:p>
      <w:pPr>
        <w:pageBreakBefore w:val="0"/>
        <w:kinsoku/>
        <w:topLinePunct w:val="0"/>
        <w:autoSpaceDE w:val="0"/>
        <w:autoSpaceDN w:val="0"/>
        <w:bidi w:val="0"/>
        <w:adjustRightInd w:val="0"/>
        <w:spacing w:line="360" w:lineRule="auto"/>
        <w:rPr>
          <w:rFonts w:hint="eastAsia" w:ascii="宋体" w:hAnsi="宋体"/>
          <w:color w:val="000000"/>
          <w:sz w:val="24"/>
          <w:highlight w:val="none"/>
        </w:rPr>
      </w:pPr>
      <w:r>
        <w:rPr>
          <w:rFonts w:hint="eastAsia" w:ascii="宋体" w:hAnsi="宋体"/>
          <w:color w:val="000000"/>
          <w:kern w:val="0"/>
          <w:sz w:val="24"/>
          <w:highlight w:val="none"/>
        </w:rPr>
        <w:t>需要承包人报送样品的材料或工程设备，样品的种类、名称、规格、数量要求：</w:t>
      </w:r>
      <w:r>
        <w:rPr>
          <w:rFonts w:hint="eastAsia" w:ascii="宋体" w:hAnsi="宋体"/>
          <w:color w:val="000000"/>
          <w:sz w:val="24"/>
          <w:highlight w:val="none"/>
          <w:u w:val="single"/>
        </w:rPr>
        <w:t xml:space="preserve">  无 </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8.8 施工设备和临时设施</w:t>
      </w:r>
    </w:p>
    <w:p>
      <w:pPr>
        <w:pageBreakBefore w:val="0"/>
        <w:kinsoku/>
        <w:topLinePunct w:val="0"/>
        <w:autoSpaceDE w:val="0"/>
        <w:autoSpaceDN w:val="0"/>
        <w:bidi w:val="0"/>
        <w:adjustRightInd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8.8.1 承包人提供的施工设备和临时设施</w:t>
      </w:r>
    </w:p>
    <w:p>
      <w:pPr>
        <w:pageBreakBefore w:val="0"/>
        <w:kinsoku/>
        <w:topLinePunct w:val="0"/>
        <w:autoSpaceDE w:val="0"/>
        <w:autoSpaceDN w:val="0"/>
        <w:bidi w:val="0"/>
        <w:adjustRightInd w:val="0"/>
        <w:spacing w:line="360" w:lineRule="auto"/>
        <w:rPr>
          <w:rFonts w:hint="eastAsia" w:ascii="宋体" w:hAnsi="宋体"/>
          <w:color w:val="000000"/>
          <w:sz w:val="24"/>
          <w:highlight w:val="none"/>
        </w:rPr>
      </w:pPr>
      <w:r>
        <w:rPr>
          <w:rFonts w:hint="eastAsia" w:ascii="宋体" w:hAnsi="宋体"/>
          <w:color w:val="000000"/>
          <w:sz w:val="24"/>
          <w:highlight w:val="none"/>
        </w:rPr>
        <w:t>关于修建临时设施费用承担的约定：</w:t>
      </w:r>
      <w:r>
        <w:rPr>
          <w:rFonts w:hint="eastAsia" w:ascii="宋体" w:hAnsi="宋体"/>
          <w:color w:val="000000"/>
          <w:sz w:val="24"/>
          <w:highlight w:val="none"/>
          <w:u w:val="single"/>
        </w:rPr>
        <w:t xml:space="preserve"> 按海南省有关规定由发包人承担 </w:t>
      </w:r>
      <w:r>
        <w:rPr>
          <w:rFonts w:hint="eastAsia" w:ascii="宋体" w:hAnsi="宋体"/>
          <w:color w:val="000000"/>
          <w:sz w:val="24"/>
          <w:highlight w:val="none"/>
        </w:rPr>
        <w:t>。</w:t>
      </w:r>
    </w:p>
    <w:p>
      <w:pPr>
        <w:pageBreakBefore w:val="0"/>
        <w:kinsoku/>
        <w:topLinePunct w:val="0"/>
        <w:autoSpaceDE w:val="0"/>
        <w:autoSpaceDN w:val="0"/>
        <w:bidi w:val="0"/>
        <w:adjustRightInd w:val="0"/>
        <w:spacing w:line="360" w:lineRule="auto"/>
        <w:ind w:firstLine="472" w:firstLineChars="196"/>
        <w:rPr>
          <w:rFonts w:hint="eastAsia" w:ascii="宋体" w:hAnsi="宋体"/>
          <w:b/>
          <w:color w:val="000000"/>
          <w:sz w:val="24"/>
          <w:highlight w:val="none"/>
        </w:rPr>
      </w:pPr>
      <w:r>
        <w:rPr>
          <w:rFonts w:hint="eastAsia" w:ascii="宋体" w:hAnsi="宋体"/>
          <w:b/>
          <w:color w:val="000000"/>
          <w:sz w:val="24"/>
          <w:highlight w:val="none"/>
        </w:rPr>
        <w:t>9. 试验与检验</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9.1试验设备与试验人员</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9.1.2 试验设备</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施工现场需要配置的试验场所：</w:t>
      </w:r>
      <w:r>
        <w:rPr>
          <w:rFonts w:hint="eastAsia" w:ascii="宋体" w:hAnsi="宋体"/>
          <w:color w:val="000000"/>
          <w:sz w:val="24"/>
          <w:highlight w:val="none"/>
          <w:u w:val="single"/>
        </w:rPr>
        <w:t xml:space="preserve"> 无  </w:t>
      </w:r>
      <w:r>
        <w:rPr>
          <w:rFonts w:hint="eastAsia" w:ascii="宋体" w:hAnsi="宋体"/>
          <w:color w:val="000000"/>
          <w:sz w:val="24"/>
          <w:highlight w:val="none"/>
        </w:rPr>
        <w:t xml:space="preserve">。 </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施工现场需要配备的试验设备：</w:t>
      </w:r>
      <w:r>
        <w:rPr>
          <w:rFonts w:hint="eastAsia" w:ascii="宋体" w:hAnsi="宋体"/>
          <w:color w:val="000000"/>
          <w:sz w:val="24"/>
          <w:highlight w:val="none"/>
          <w:u w:val="single"/>
        </w:rPr>
        <w:t xml:space="preserve"> 无  </w:t>
      </w:r>
      <w:r>
        <w:rPr>
          <w:rFonts w:hint="eastAsia" w:ascii="宋体" w:hAnsi="宋体"/>
          <w:color w:val="000000"/>
          <w:sz w:val="24"/>
          <w:highlight w:val="none"/>
        </w:rPr>
        <w:t>。</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施工现场需要具备的其他试验条件：</w:t>
      </w:r>
      <w:r>
        <w:rPr>
          <w:rFonts w:hint="eastAsia" w:ascii="宋体" w:hAnsi="宋体"/>
          <w:color w:val="000000"/>
          <w:sz w:val="24"/>
          <w:highlight w:val="none"/>
          <w:u w:val="single"/>
        </w:rPr>
        <w:t xml:space="preserve"> 无  </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 xml:space="preserve">9.4 现场工艺试验 </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现场工艺试验的有关约定：</w:t>
      </w:r>
      <w:r>
        <w:rPr>
          <w:rFonts w:hint="eastAsia" w:ascii="宋体" w:hAnsi="宋体"/>
          <w:color w:val="000000"/>
          <w:sz w:val="24"/>
          <w:highlight w:val="none"/>
          <w:u w:val="single"/>
        </w:rPr>
        <w:t xml:space="preserve">  无 </w:t>
      </w:r>
      <w:r>
        <w:rPr>
          <w:rFonts w:hint="eastAsia" w:ascii="宋体" w:hAnsi="宋体"/>
          <w:color w:val="000000"/>
          <w:sz w:val="24"/>
          <w:highlight w:val="none"/>
        </w:rPr>
        <w:t>。</w:t>
      </w:r>
    </w:p>
    <w:p>
      <w:pPr>
        <w:pageBreakBefore w:val="0"/>
        <w:kinsoku/>
        <w:topLinePunct w:val="0"/>
        <w:bidi w:val="0"/>
        <w:spacing w:line="360" w:lineRule="auto"/>
        <w:ind w:firstLine="472" w:firstLineChars="196"/>
        <w:rPr>
          <w:rFonts w:hint="eastAsia" w:ascii="宋体" w:hAnsi="宋体"/>
          <w:b/>
          <w:color w:val="000000"/>
          <w:sz w:val="24"/>
          <w:highlight w:val="none"/>
        </w:rPr>
      </w:pPr>
      <w:r>
        <w:rPr>
          <w:rFonts w:hint="eastAsia" w:ascii="宋体" w:hAnsi="宋体"/>
          <w:b/>
          <w:color w:val="000000"/>
          <w:sz w:val="24"/>
          <w:highlight w:val="none"/>
        </w:rPr>
        <w:t>10. 变更</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10.1变更的范围</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关于变更的范围的约定：</w:t>
      </w:r>
      <w:r>
        <w:rPr>
          <w:rFonts w:hint="eastAsia" w:ascii="宋体" w:hAnsi="宋体"/>
          <w:color w:val="000000"/>
          <w:sz w:val="24"/>
          <w:highlight w:val="none"/>
          <w:u w:val="single"/>
        </w:rPr>
        <w:t xml:space="preserve">  按“通用条款”执行  </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10.4 变更估价</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10.4.1 变更估价原则</w:t>
      </w:r>
    </w:p>
    <w:p>
      <w:pPr>
        <w:pageBreakBefore w:val="0"/>
        <w:kinsoku/>
        <w:topLinePunct w:val="0"/>
        <w:bidi w:val="0"/>
        <w:spacing w:line="360" w:lineRule="auto"/>
        <w:rPr>
          <w:rFonts w:hint="eastAsia" w:ascii="宋体" w:hAnsi="宋体"/>
          <w:color w:val="000000"/>
          <w:sz w:val="24"/>
          <w:highlight w:val="none"/>
          <w:u w:val="single"/>
        </w:rPr>
      </w:pPr>
      <w:r>
        <w:rPr>
          <w:rFonts w:hint="eastAsia" w:ascii="宋体" w:hAnsi="宋体"/>
          <w:color w:val="000000"/>
          <w:sz w:val="24"/>
          <w:highlight w:val="none"/>
        </w:rPr>
        <w:t xml:space="preserve">关于变更估价的约定: </w:t>
      </w:r>
      <w:r>
        <w:rPr>
          <w:rFonts w:hint="eastAsia" w:ascii="宋体" w:hAnsi="宋体"/>
          <w:color w:val="000000"/>
          <w:sz w:val="24"/>
          <w:highlight w:val="none"/>
          <w:u w:val="single"/>
        </w:rPr>
        <w:t xml:space="preserve"> 按“通用条款”执行</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10.5承包人的合理化建议</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监理人审查承包人合理化建议的期限：</w:t>
      </w:r>
      <w:r>
        <w:rPr>
          <w:rFonts w:hint="eastAsia" w:ascii="宋体" w:hAnsi="宋体"/>
          <w:color w:val="000000"/>
          <w:sz w:val="24"/>
          <w:highlight w:val="none"/>
          <w:u w:val="single"/>
        </w:rPr>
        <w:t xml:space="preserve">  按“通用条款”执行</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发包人审批承包人合理化建议的期限：</w:t>
      </w:r>
      <w:r>
        <w:rPr>
          <w:rFonts w:hint="eastAsia" w:ascii="宋体" w:hAnsi="宋体"/>
          <w:color w:val="000000"/>
          <w:sz w:val="24"/>
          <w:highlight w:val="none"/>
          <w:u w:val="single"/>
        </w:rPr>
        <w:t xml:space="preserve">  按“通用条款”执行   </w:t>
      </w:r>
      <w:r>
        <w:rPr>
          <w:rFonts w:hint="eastAsia" w:ascii="宋体" w:hAnsi="宋体"/>
          <w:color w:val="000000"/>
          <w:sz w:val="24"/>
          <w:highlight w:val="none"/>
        </w:rPr>
        <w:t>。</w:t>
      </w:r>
    </w:p>
    <w:p>
      <w:pPr>
        <w:pageBreakBefore w:val="0"/>
        <w:kinsoku/>
        <w:topLinePunct w:val="0"/>
        <w:bidi w:val="0"/>
        <w:spacing w:line="360" w:lineRule="auto"/>
        <w:rPr>
          <w:rFonts w:hint="eastAsia" w:ascii="宋体" w:hAnsi="宋体"/>
          <w:color w:val="000000"/>
          <w:sz w:val="24"/>
          <w:highlight w:val="none"/>
          <w:u w:val="single"/>
        </w:rPr>
      </w:pPr>
      <w:r>
        <w:rPr>
          <w:rFonts w:hint="eastAsia" w:ascii="宋体" w:hAnsi="宋体"/>
          <w:color w:val="000000"/>
          <w:sz w:val="24"/>
          <w:highlight w:val="none"/>
        </w:rPr>
        <w:t>承包人提出的合理化建议降低了合同价格或者提高了工程经济效益的奖励的方法和金额为：</w:t>
      </w:r>
      <w:r>
        <w:rPr>
          <w:rFonts w:hint="eastAsia" w:ascii="宋体" w:hAnsi="宋体"/>
          <w:color w:val="000000"/>
          <w:sz w:val="24"/>
          <w:highlight w:val="none"/>
          <w:u w:val="single"/>
        </w:rPr>
        <w:t xml:space="preserve">  另行商定   </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10.7 暂估价</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kern w:val="0"/>
          <w:sz w:val="24"/>
          <w:highlight w:val="none"/>
        </w:rPr>
        <w:t>暂估价材料和工程设备的明细详见附件11：《</w:t>
      </w:r>
      <w:r>
        <w:rPr>
          <w:rFonts w:hint="eastAsia" w:ascii="宋体" w:hAnsi="宋体"/>
          <w:color w:val="000000"/>
          <w:sz w:val="24"/>
          <w:highlight w:val="none"/>
        </w:rPr>
        <w:t>暂估价一览表》</w:t>
      </w:r>
      <w:r>
        <w:rPr>
          <w:rFonts w:hint="eastAsia" w:ascii="宋体" w:hAnsi="宋体"/>
          <w:color w:val="000000"/>
          <w:kern w:val="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10.7.1 依法必须招标的暂估价项目</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对于依法必须招标的暂估价项目的确认和批准采取第</w:t>
      </w:r>
      <w:r>
        <w:rPr>
          <w:rFonts w:hint="eastAsia" w:ascii="宋体" w:hAnsi="宋体"/>
          <w:color w:val="000000"/>
          <w:sz w:val="24"/>
          <w:highlight w:val="none"/>
          <w:u w:val="single"/>
        </w:rPr>
        <w:t xml:space="preserve">   /   </w:t>
      </w:r>
      <w:r>
        <w:rPr>
          <w:rFonts w:hint="eastAsia" w:ascii="宋体" w:hAnsi="宋体"/>
          <w:color w:val="000000"/>
          <w:sz w:val="24"/>
          <w:highlight w:val="none"/>
        </w:rPr>
        <w:t>种方式确定。</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10.7.2 不属于依法必须招标的暂估价项目</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对于不属于依法必须招标的暂估价项目的确认和批准采取第</w:t>
      </w:r>
      <w:r>
        <w:rPr>
          <w:rFonts w:hint="eastAsia" w:ascii="宋体" w:hAnsi="宋体"/>
          <w:color w:val="000000"/>
          <w:sz w:val="24"/>
          <w:highlight w:val="none"/>
          <w:u w:val="single"/>
        </w:rPr>
        <w:t xml:space="preserve"> 按“通用条款”执行 </w:t>
      </w:r>
      <w:r>
        <w:rPr>
          <w:rFonts w:hint="eastAsia" w:ascii="宋体" w:hAnsi="宋体"/>
          <w:color w:val="000000"/>
          <w:sz w:val="24"/>
          <w:highlight w:val="none"/>
        </w:rPr>
        <w:t>种方式确定。</w:t>
      </w:r>
    </w:p>
    <w:p>
      <w:pPr>
        <w:pageBreakBefore w:val="0"/>
        <w:kinsoku/>
        <w:topLinePunct w:val="0"/>
        <w:bidi w:val="0"/>
        <w:spacing w:line="360" w:lineRule="auto"/>
        <w:ind w:firstLine="480" w:firstLineChars="200"/>
        <w:rPr>
          <w:rFonts w:hint="eastAsia" w:ascii="宋体" w:hAnsi="宋体"/>
          <w:color w:val="000000"/>
          <w:kern w:val="0"/>
          <w:sz w:val="24"/>
          <w:highlight w:val="none"/>
        </w:rPr>
      </w:pPr>
      <w:r>
        <w:rPr>
          <w:rFonts w:hint="eastAsia" w:ascii="宋体" w:hAnsi="宋体"/>
          <w:color w:val="000000"/>
          <w:sz w:val="24"/>
          <w:highlight w:val="none"/>
        </w:rPr>
        <w:t>第3种方式：</w:t>
      </w:r>
      <w:r>
        <w:rPr>
          <w:rFonts w:hint="eastAsia" w:ascii="宋体" w:hAnsi="宋体"/>
          <w:color w:val="000000"/>
          <w:kern w:val="0"/>
          <w:sz w:val="24"/>
          <w:highlight w:val="none"/>
        </w:rPr>
        <w:t>承包人直接实施的暂估价项目</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承包人直接实施的暂估价项目的约定：</w:t>
      </w:r>
      <w:r>
        <w:rPr>
          <w:rFonts w:hint="eastAsia" w:ascii="宋体" w:hAnsi="宋体"/>
          <w:color w:val="000000"/>
          <w:sz w:val="24"/>
          <w:highlight w:val="none"/>
          <w:u w:val="single"/>
        </w:rPr>
        <w:t xml:space="preserve">  无  </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10.8 暂列金额</w:t>
      </w:r>
    </w:p>
    <w:p>
      <w:pPr>
        <w:pageBreakBefore w:val="0"/>
        <w:kinsoku/>
        <w:topLinePunct w:val="0"/>
        <w:autoSpaceDE w:val="0"/>
        <w:autoSpaceDN w:val="0"/>
        <w:bidi w:val="0"/>
        <w:adjustRightInd w:val="0"/>
        <w:spacing w:line="360" w:lineRule="auto"/>
        <w:rPr>
          <w:rFonts w:hint="eastAsia" w:ascii="宋体" w:hAnsi="宋体"/>
          <w:color w:val="000000"/>
          <w:kern w:val="0"/>
          <w:sz w:val="24"/>
          <w:highlight w:val="none"/>
        </w:rPr>
      </w:pPr>
      <w:r>
        <w:rPr>
          <w:rFonts w:hint="eastAsia" w:ascii="宋体" w:hAnsi="宋体"/>
          <w:color w:val="000000"/>
          <w:kern w:val="0"/>
          <w:sz w:val="24"/>
          <w:highlight w:val="none"/>
        </w:rPr>
        <w:t>合同当事人关于暂列金额使用的约定：</w:t>
      </w:r>
      <w:r>
        <w:rPr>
          <w:rFonts w:hint="eastAsia" w:ascii="宋体" w:hAnsi="宋体"/>
          <w:color w:val="000000"/>
          <w:sz w:val="24"/>
          <w:highlight w:val="none"/>
          <w:u w:val="single"/>
        </w:rPr>
        <w:t xml:space="preserve"> 无   </w:t>
      </w:r>
      <w:r>
        <w:rPr>
          <w:rFonts w:hint="eastAsia" w:ascii="宋体" w:hAnsi="宋体"/>
          <w:color w:val="000000"/>
          <w:kern w:val="0"/>
          <w:sz w:val="24"/>
          <w:highlight w:val="none"/>
        </w:rPr>
        <w:t>。</w:t>
      </w:r>
    </w:p>
    <w:p>
      <w:pPr>
        <w:pageBreakBefore w:val="0"/>
        <w:kinsoku/>
        <w:topLinePunct w:val="0"/>
        <w:autoSpaceDE w:val="0"/>
        <w:autoSpaceDN w:val="0"/>
        <w:bidi w:val="0"/>
        <w:adjustRightInd w:val="0"/>
        <w:spacing w:line="360" w:lineRule="auto"/>
        <w:ind w:firstLine="472" w:firstLineChars="196"/>
        <w:rPr>
          <w:rFonts w:hint="eastAsia" w:ascii="宋体" w:hAnsi="宋体"/>
          <w:b/>
          <w:color w:val="000000"/>
          <w:kern w:val="0"/>
          <w:sz w:val="24"/>
          <w:highlight w:val="none"/>
        </w:rPr>
      </w:pPr>
      <w:r>
        <w:rPr>
          <w:rFonts w:hint="eastAsia" w:ascii="宋体" w:hAnsi="宋体"/>
          <w:b/>
          <w:color w:val="000000"/>
          <w:sz w:val="24"/>
          <w:highlight w:val="none"/>
        </w:rPr>
        <w:t>11. 价格调整</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11.1 市场价格波动引起的调整</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kern w:val="0"/>
          <w:sz w:val="24"/>
          <w:highlight w:val="none"/>
        </w:rPr>
        <w:t>市场价格波动是否调整合同价格的约定：</w:t>
      </w:r>
      <w:r>
        <w:rPr>
          <w:rFonts w:hint="eastAsia" w:ascii="宋体" w:hAnsi="宋体"/>
          <w:color w:val="000000"/>
          <w:sz w:val="24"/>
          <w:highlight w:val="none"/>
          <w:u w:val="single"/>
        </w:rPr>
        <w:t xml:space="preserve"> 调整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因市场价格波动调整合同价格，采用以下第</w:t>
      </w:r>
      <w:r>
        <w:rPr>
          <w:rFonts w:hint="eastAsia" w:ascii="宋体" w:hAnsi="宋体"/>
          <w:color w:val="000000"/>
          <w:sz w:val="24"/>
          <w:highlight w:val="none"/>
          <w:u w:val="single"/>
        </w:rPr>
        <w:t xml:space="preserve">  2 </w:t>
      </w:r>
      <w:r>
        <w:rPr>
          <w:rFonts w:hint="eastAsia" w:ascii="宋体" w:hAnsi="宋体"/>
          <w:color w:val="000000"/>
          <w:sz w:val="24"/>
          <w:highlight w:val="none"/>
        </w:rPr>
        <w:t>种方式对合同价格进行调整：</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第1种方式：采用价格指数进行价格调整。</w:t>
      </w:r>
    </w:p>
    <w:p>
      <w:pPr>
        <w:pageBreakBefore w:val="0"/>
        <w:kinsoku/>
        <w:topLinePunct w:val="0"/>
        <w:bidi w:val="0"/>
        <w:spacing w:line="360" w:lineRule="auto"/>
        <w:ind w:firstLine="480" w:firstLineChars="200"/>
        <w:rPr>
          <w:rFonts w:hint="eastAsia" w:ascii="宋体" w:hAnsi="宋体"/>
          <w:color w:val="000000"/>
          <w:sz w:val="24"/>
          <w:highlight w:val="none"/>
          <w:u w:val="single"/>
        </w:rPr>
      </w:pPr>
      <w:r>
        <w:rPr>
          <w:rFonts w:hint="eastAsia" w:ascii="宋体" w:hAnsi="宋体"/>
          <w:color w:val="000000"/>
          <w:sz w:val="24"/>
          <w:highlight w:val="none"/>
        </w:rPr>
        <w:t>关于各可调因子、定值和变值权重，以及基本价格指数及其来源的约定：</w:t>
      </w:r>
      <w:r>
        <w:rPr>
          <w:rFonts w:hint="eastAsia" w:ascii="宋体" w:hAnsi="宋体"/>
          <w:color w:val="000000"/>
          <w:sz w:val="24"/>
          <w:highlight w:val="none"/>
          <w:u w:val="single"/>
        </w:rPr>
        <w:t xml:space="preserve">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第2种方式：采用造价信息进行价格调整。</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（2）关于基准价格的约定：</w:t>
      </w:r>
      <w:r>
        <w:rPr>
          <w:rFonts w:hint="eastAsia" w:ascii="宋体" w:hAnsi="宋体"/>
          <w:color w:val="000000"/>
          <w:sz w:val="24"/>
          <w:highlight w:val="none"/>
          <w:u w:val="single"/>
        </w:rPr>
        <w:t>本合同“基准日期”的价格为“基准价格”</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专用合同条款</w:t>
      </w:r>
      <w:r>
        <w:rPr>
          <w:rFonts w:hint="eastAsia" w:ascii="宋体" w:hAnsi="宋体" w:cs="宋体"/>
          <w:color w:val="000000"/>
          <w:sz w:val="24"/>
          <w:highlight w:val="none"/>
        </w:rPr>
        <w:t>①</w:t>
      </w:r>
      <w:r>
        <w:rPr>
          <w:rFonts w:hint="eastAsia" w:ascii="宋体" w:hAnsi="宋体"/>
          <w:color w:val="000000"/>
          <w:sz w:val="24"/>
          <w:highlight w:val="none"/>
        </w:rPr>
        <w:t>承包人在已标价工程量清单或预算书中载明的材料单价低于基准价格的：专用合同条款合同履行期间材料单价涨幅以基准价格为基础超过</w:t>
      </w:r>
      <w:r>
        <w:rPr>
          <w:rFonts w:hint="eastAsia" w:ascii="宋体" w:hAnsi="宋体"/>
          <w:color w:val="000000"/>
          <w:sz w:val="24"/>
          <w:highlight w:val="none"/>
          <w:u w:val="single"/>
        </w:rPr>
        <w:t xml:space="preserve"> 5 </w:t>
      </w:r>
      <w:r>
        <w:rPr>
          <w:rFonts w:hint="eastAsia" w:ascii="宋体" w:hAnsi="宋体"/>
          <w:color w:val="000000"/>
          <w:sz w:val="24"/>
          <w:highlight w:val="none"/>
        </w:rPr>
        <w:t>%时，或材料单价跌幅以已标价工程量清单或预算书中载明材料单价为基础超过</w:t>
      </w:r>
      <w:r>
        <w:rPr>
          <w:rFonts w:hint="eastAsia" w:ascii="宋体" w:hAnsi="宋体"/>
          <w:color w:val="000000"/>
          <w:sz w:val="24"/>
          <w:highlight w:val="none"/>
          <w:u w:val="single"/>
        </w:rPr>
        <w:t xml:space="preserve"> 5  </w:t>
      </w:r>
      <w:r>
        <w:rPr>
          <w:rFonts w:hint="eastAsia" w:ascii="宋体" w:hAnsi="宋体"/>
          <w:color w:val="000000"/>
          <w:sz w:val="24"/>
          <w:highlight w:val="none"/>
        </w:rPr>
        <w:t>%时，其超过部分按“风险范围以外合同价格的调整方法”调整。</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s="宋体"/>
          <w:color w:val="000000"/>
          <w:sz w:val="24"/>
          <w:highlight w:val="none"/>
        </w:rPr>
        <w:t>②</w:t>
      </w:r>
      <w:r>
        <w:rPr>
          <w:rFonts w:hint="eastAsia" w:ascii="宋体" w:hAnsi="宋体"/>
          <w:color w:val="000000"/>
          <w:sz w:val="24"/>
          <w:highlight w:val="none"/>
        </w:rPr>
        <w:t>承包人在已标价工程量清单或预算书中载明的材料单价高于基准价格的：专用合同条款合同履行期间材料单价跌幅以基准价格为基础超过</w:t>
      </w:r>
      <w:r>
        <w:rPr>
          <w:rFonts w:hint="eastAsia" w:ascii="宋体" w:hAnsi="宋体"/>
          <w:color w:val="000000"/>
          <w:sz w:val="24"/>
          <w:highlight w:val="none"/>
          <w:u w:val="single"/>
        </w:rPr>
        <w:t xml:space="preserve">  5  </w:t>
      </w:r>
      <w:r>
        <w:rPr>
          <w:rFonts w:hint="eastAsia" w:ascii="宋体" w:hAnsi="宋体"/>
          <w:color w:val="000000"/>
          <w:sz w:val="24"/>
          <w:highlight w:val="none"/>
        </w:rPr>
        <w:t>%时，材料单价涨幅以已标价工程量清单或预算书中载明材料单价为基础超过</w:t>
      </w:r>
      <w:r>
        <w:rPr>
          <w:rFonts w:hint="eastAsia" w:ascii="宋体" w:hAnsi="宋体"/>
          <w:color w:val="000000"/>
          <w:sz w:val="24"/>
          <w:highlight w:val="none"/>
          <w:u w:val="single"/>
        </w:rPr>
        <w:t xml:space="preserve"> 5   </w:t>
      </w:r>
      <w:r>
        <w:rPr>
          <w:rFonts w:hint="eastAsia" w:ascii="宋体" w:hAnsi="宋体"/>
          <w:color w:val="000000"/>
          <w:sz w:val="24"/>
          <w:highlight w:val="none"/>
        </w:rPr>
        <w:t>%时，其超过部分按“风险范围以外合同价格的调整方法”调整。</w:t>
      </w:r>
    </w:p>
    <w:p>
      <w:pPr>
        <w:pageBreakBefore w:val="0"/>
        <w:kinsoku/>
        <w:topLinePunct w:val="0"/>
        <w:bidi w:val="0"/>
        <w:spacing w:line="360" w:lineRule="auto"/>
        <w:ind w:firstLine="645"/>
        <w:rPr>
          <w:rFonts w:hint="eastAsia" w:ascii="宋体" w:hAnsi="宋体"/>
          <w:color w:val="000000"/>
          <w:sz w:val="24"/>
          <w:highlight w:val="none"/>
        </w:rPr>
      </w:pPr>
      <w:r>
        <w:rPr>
          <w:rFonts w:hint="eastAsia" w:ascii="宋体" w:hAnsi="宋体" w:cs="宋体"/>
          <w:color w:val="000000"/>
          <w:sz w:val="24"/>
          <w:highlight w:val="none"/>
        </w:rPr>
        <w:t>③</w:t>
      </w:r>
      <w:r>
        <w:rPr>
          <w:rFonts w:hint="eastAsia" w:ascii="宋体" w:hAnsi="宋体"/>
          <w:color w:val="000000"/>
          <w:sz w:val="24"/>
          <w:highlight w:val="none"/>
        </w:rPr>
        <w:t>承包人在已标价工程量清单或预算书中载明的材料单价等于基准单价的：专用合同条款合同履行期间材料单价涨跌幅以基准单价为基础超过±</w:t>
      </w:r>
      <w:r>
        <w:rPr>
          <w:rFonts w:hint="eastAsia" w:ascii="宋体" w:hAnsi="宋体"/>
          <w:color w:val="000000"/>
          <w:sz w:val="24"/>
          <w:highlight w:val="none"/>
          <w:u w:val="single"/>
        </w:rPr>
        <w:t xml:space="preserve"> 5 </w:t>
      </w:r>
      <w:r>
        <w:rPr>
          <w:rFonts w:hint="eastAsia" w:ascii="宋体" w:hAnsi="宋体"/>
          <w:color w:val="000000"/>
          <w:sz w:val="24"/>
          <w:highlight w:val="none"/>
        </w:rPr>
        <w:t>%时，其超过部分按“风险范围以外合同价格的调整方法”调整。</w:t>
      </w:r>
    </w:p>
    <w:p>
      <w:pPr>
        <w:pageBreakBefore w:val="0"/>
        <w:kinsoku/>
        <w:topLinePunct w:val="0"/>
        <w:bidi w:val="0"/>
        <w:spacing w:line="360" w:lineRule="auto"/>
        <w:ind w:firstLine="645"/>
        <w:rPr>
          <w:rFonts w:hint="eastAsia" w:ascii="宋体" w:hAnsi="宋体"/>
          <w:color w:val="000000"/>
          <w:sz w:val="24"/>
          <w:highlight w:val="none"/>
          <w:u w:val="single"/>
        </w:rPr>
      </w:pPr>
      <w:r>
        <w:rPr>
          <w:rFonts w:hint="eastAsia" w:ascii="宋体" w:hAnsi="宋体"/>
          <w:color w:val="000000"/>
          <w:sz w:val="24"/>
          <w:highlight w:val="none"/>
        </w:rPr>
        <w:t>第3种方式：其他价格调整方式：</w:t>
      </w:r>
      <w:r>
        <w:rPr>
          <w:rFonts w:hint="eastAsia" w:ascii="宋体" w:hAnsi="宋体"/>
          <w:color w:val="000000"/>
          <w:sz w:val="24"/>
          <w:highlight w:val="none"/>
          <w:u w:val="single"/>
        </w:rPr>
        <w:t xml:space="preserve">                                </w:t>
      </w:r>
      <w:r>
        <w:rPr>
          <w:rFonts w:hint="eastAsia" w:ascii="宋体" w:hAnsi="宋体"/>
          <w:color w:val="000000"/>
          <w:sz w:val="24"/>
          <w:highlight w:val="none"/>
        </w:rPr>
        <w:t>。</w:t>
      </w:r>
    </w:p>
    <w:p>
      <w:pPr>
        <w:pageBreakBefore w:val="0"/>
        <w:kinsoku/>
        <w:topLinePunct w:val="0"/>
        <w:bidi w:val="0"/>
        <w:spacing w:line="360" w:lineRule="auto"/>
        <w:ind w:firstLine="472" w:firstLineChars="196"/>
        <w:rPr>
          <w:rFonts w:hint="eastAsia" w:ascii="宋体" w:hAnsi="宋体"/>
          <w:b/>
          <w:color w:val="000000"/>
          <w:sz w:val="24"/>
          <w:highlight w:val="none"/>
        </w:rPr>
      </w:pPr>
      <w:r>
        <w:rPr>
          <w:rFonts w:hint="eastAsia" w:ascii="宋体" w:hAnsi="宋体"/>
          <w:b/>
          <w:color w:val="000000"/>
          <w:sz w:val="24"/>
          <w:highlight w:val="none"/>
        </w:rPr>
        <w:t>12. 合同价格、计量与支付</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12.1 合同价格形式</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1、本工程采用“综合单价合同”。</w:t>
      </w:r>
    </w:p>
    <w:p>
      <w:pPr>
        <w:pageBreakBefore w:val="0"/>
        <w:kinsoku/>
        <w:topLinePunct w:val="0"/>
        <w:bidi w:val="0"/>
        <w:spacing w:line="360" w:lineRule="auto"/>
        <w:ind w:left="2881" w:leftChars="228" w:hanging="2402" w:hangingChars="997"/>
        <w:jc w:val="left"/>
        <w:rPr>
          <w:rFonts w:hint="eastAsia" w:ascii="宋体" w:hAnsi="宋体"/>
          <w:color w:val="000000"/>
          <w:sz w:val="24"/>
          <w:highlight w:val="none"/>
        </w:rPr>
      </w:pPr>
      <w:r>
        <w:rPr>
          <w:rFonts w:hint="eastAsia" w:ascii="宋体" w:hAnsi="宋体"/>
          <w:b/>
          <w:color w:val="000000"/>
          <w:sz w:val="24"/>
          <w:highlight w:val="none"/>
        </w:rPr>
        <w:t>综合单价包含的风险范围</w:t>
      </w:r>
      <w:r>
        <w:rPr>
          <w:rFonts w:hint="eastAsia" w:ascii="宋体" w:hAnsi="宋体"/>
          <w:color w:val="000000"/>
          <w:sz w:val="24"/>
          <w:highlight w:val="none"/>
        </w:rPr>
        <w:t>：</w:t>
      </w:r>
    </w:p>
    <w:p>
      <w:pPr>
        <w:pageBreakBefore w:val="0"/>
        <w:kinsoku/>
        <w:topLinePunct w:val="0"/>
        <w:bidi w:val="0"/>
        <w:spacing w:line="360" w:lineRule="auto"/>
        <w:ind w:left="2870" w:leftChars="456" w:hanging="1912" w:hangingChars="797"/>
        <w:jc w:val="left"/>
        <w:rPr>
          <w:rFonts w:hint="eastAsia" w:ascii="宋体" w:hAnsi="宋体"/>
          <w:color w:val="000000"/>
          <w:sz w:val="24"/>
          <w:highlight w:val="none"/>
          <w:u w:val="single"/>
        </w:rPr>
      </w:pPr>
      <w:r>
        <w:rPr>
          <w:rFonts w:hint="eastAsia" w:ascii="宋体" w:hAnsi="宋体"/>
          <w:color w:val="000000"/>
          <w:sz w:val="24"/>
          <w:highlight w:val="none"/>
          <w:u w:val="single"/>
        </w:rPr>
        <w:t>①</w:t>
      </w:r>
      <w:r>
        <w:rPr>
          <w:rFonts w:hint="eastAsia" w:ascii="宋体" w:hAnsi="宋体"/>
          <w:color w:val="000000"/>
          <w:sz w:val="24"/>
          <w:highlight w:val="none"/>
          <w:u w:val="single"/>
          <w:lang w:eastAsia="zh-CN"/>
        </w:rPr>
        <w:t>供应商</w:t>
      </w:r>
      <w:r>
        <w:rPr>
          <w:rFonts w:hint="eastAsia" w:ascii="宋体" w:hAnsi="宋体"/>
          <w:color w:val="000000"/>
          <w:sz w:val="24"/>
          <w:highlight w:val="none"/>
          <w:u w:val="single"/>
        </w:rPr>
        <w:t>投标报价时，其综合单价组价明细表中应列而未列的费用（价款），视为</w:t>
      </w:r>
    </w:p>
    <w:p>
      <w:pPr>
        <w:pageBreakBefore w:val="0"/>
        <w:kinsoku/>
        <w:topLinePunct w:val="0"/>
        <w:bidi w:val="0"/>
        <w:spacing w:line="360" w:lineRule="auto"/>
        <w:ind w:left="2870" w:leftChars="456" w:hanging="1912" w:hangingChars="797"/>
        <w:jc w:val="left"/>
        <w:rPr>
          <w:rFonts w:hint="eastAsia" w:ascii="宋体" w:hAnsi="宋体"/>
          <w:color w:val="000000"/>
          <w:sz w:val="24"/>
          <w:highlight w:val="none"/>
          <w:u w:val="single"/>
        </w:rPr>
      </w:pPr>
      <w:r>
        <w:rPr>
          <w:rFonts w:hint="eastAsia" w:ascii="宋体" w:hAnsi="宋体"/>
          <w:color w:val="000000"/>
          <w:sz w:val="24"/>
          <w:highlight w:val="none"/>
          <w:u w:val="single"/>
        </w:rPr>
        <w:t>已包含在“综合单价”中，结算时，此部分费用（价款）不作调整；</w:t>
      </w:r>
    </w:p>
    <w:p>
      <w:pPr>
        <w:pageBreakBefore w:val="0"/>
        <w:kinsoku/>
        <w:topLinePunct w:val="0"/>
        <w:bidi w:val="0"/>
        <w:spacing w:line="360" w:lineRule="auto"/>
        <w:ind w:left="2870" w:leftChars="456" w:hanging="1912" w:hangingChars="797"/>
        <w:jc w:val="left"/>
        <w:rPr>
          <w:rFonts w:hint="eastAsia" w:ascii="宋体" w:hAnsi="宋体"/>
          <w:color w:val="000000"/>
          <w:sz w:val="24"/>
          <w:highlight w:val="none"/>
          <w:u w:val="single"/>
        </w:rPr>
      </w:pPr>
      <w:r>
        <w:rPr>
          <w:rFonts w:hint="eastAsia" w:ascii="宋体" w:hAnsi="宋体"/>
          <w:color w:val="000000"/>
          <w:sz w:val="24"/>
          <w:highlight w:val="none"/>
          <w:u w:val="single"/>
        </w:rPr>
        <w:t>②以本合同“专用条款”11.1第2种方式中规定的“基础”为基数，材料价格浮</w:t>
      </w:r>
    </w:p>
    <w:p>
      <w:pPr>
        <w:pageBreakBefore w:val="0"/>
        <w:kinsoku/>
        <w:topLinePunct w:val="0"/>
        <w:bidi w:val="0"/>
        <w:spacing w:line="360" w:lineRule="auto"/>
        <w:ind w:left="2870" w:leftChars="456" w:hanging="1912" w:hangingChars="797"/>
        <w:jc w:val="left"/>
        <w:rPr>
          <w:rFonts w:hint="eastAsia" w:ascii="宋体" w:hAnsi="宋体"/>
          <w:color w:val="000000"/>
          <w:sz w:val="24"/>
          <w:highlight w:val="none"/>
          <w:u w:val="single"/>
        </w:rPr>
      </w:pPr>
      <w:r>
        <w:rPr>
          <w:rFonts w:hint="eastAsia" w:ascii="宋体" w:hAnsi="宋体"/>
          <w:color w:val="000000"/>
          <w:sz w:val="24"/>
          <w:highlight w:val="none"/>
          <w:u w:val="single"/>
        </w:rPr>
        <w:t>动幅度在基数5%范围内的部分。</w:t>
      </w:r>
    </w:p>
    <w:p>
      <w:pPr>
        <w:pageBreakBefore w:val="0"/>
        <w:kinsoku/>
        <w:topLinePunct w:val="0"/>
        <w:bidi w:val="0"/>
        <w:spacing w:line="360" w:lineRule="auto"/>
        <w:ind w:left="2158" w:leftChars="228" w:hanging="1679" w:hangingChars="697"/>
        <w:rPr>
          <w:rFonts w:hint="eastAsia" w:ascii="宋体" w:hAnsi="宋体"/>
          <w:color w:val="000000"/>
          <w:sz w:val="24"/>
          <w:highlight w:val="none"/>
        </w:rPr>
      </w:pPr>
      <w:r>
        <w:rPr>
          <w:rFonts w:hint="eastAsia" w:ascii="宋体" w:hAnsi="宋体"/>
          <w:b/>
          <w:color w:val="000000"/>
          <w:sz w:val="24"/>
          <w:highlight w:val="none"/>
        </w:rPr>
        <w:t>风险费用的计算方法</w:t>
      </w:r>
      <w:r>
        <w:rPr>
          <w:rFonts w:hint="eastAsia" w:ascii="宋体" w:hAnsi="宋体"/>
          <w:color w:val="000000"/>
          <w:sz w:val="24"/>
          <w:highlight w:val="none"/>
        </w:rPr>
        <w:t>：</w:t>
      </w:r>
    </w:p>
    <w:p>
      <w:pPr>
        <w:pageBreakBefore w:val="0"/>
        <w:kinsoku/>
        <w:topLinePunct w:val="0"/>
        <w:bidi w:val="0"/>
        <w:spacing w:line="360" w:lineRule="auto"/>
        <w:ind w:firstLine="960" w:firstLineChars="400"/>
        <w:rPr>
          <w:rFonts w:hint="eastAsia" w:ascii="宋体" w:hAnsi="宋体"/>
          <w:color w:val="000000"/>
          <w:sz w:val="24"/>
          <w:highlight w:val="none"/>
          <w:u w:val="single"/>
        </w:rPr>
      </w:pPr>
      <w:r>
        <w:rPr>
          <w:rFonts w:hint="eastAsia" w:ascii="宋体" w:hAnsi="宋体"/>
          <w:color w:val="000000"/>
          <w:sz w:val="24"/>
          <w:highlight w:val="none"/>
          <w:u w:val="single"/>
        </w:rPr>
        <w:t>①承包人投标报价中综合单价中的材料、机械的单价小于或等于基准日单价时</w:t>
      </w:r>
      <w:r>
        <w:rPr>
          <w:rFonts w:hint="eastAsia" w:ascii="宋体" w:hAnsi="宋体"/>
          <w:color w:val="000000"/>
          <w:sz w:val="24"/>
          <w:highlight w:val="none"/>
        </w:rPr>
        <w:t>：</w:t>
      </w:r>
    </w:p>
    <w:p>
      <w:pPr>
        <w:pageBreakBefore w:val="0"/>
        <w:kinsoku/>
        <w:topLinePunct w:val="0"/>
        <w:bidi w:val="0"/>
        <w:spacing w:line="360" w:lineRule="auto"/>
        <w:ind w:firstLine="1200" w:firstLineChars="500"/>
        <w:rPr>
          <w:rFonts w:hint="eastAsia" w:ascii="宋体" w:hAnsi="宋体"/>
          <w:color w:val="000000"/>
          <w:sz w:val="24"/>
          <w:highlight w:val="none"/>
          <w:u w:val="single"/>
        </w:rPr>
      </w:pPr>
      <w:r>
        <w:rPr>
          <w:rFonts w:hint="eastAsia" w:ascii="宋体" w:hAnsi="宋体"/>
          <w:color w:val="000000"/>
          <w:sz w:val="24"/>
          <w:highlight w:val="none"/>
          <w:u w:val="single"/>
        </w:rPr>
        <w:t>基准日单价×0.05×招标工程量清单中包含的材料或机械数量；</w:t>
      </w:r>
    </w:p>
    <w:p>
      <w:pPr>
        <w:pageBreakBefore w:val="0"/>
        <w:kinsoku/>
        <w:topLinePunct w:val="0"/>
        <w:bidi w:val="0"/>
        <w:spacing w:line="360" w:lineRule="auto"/>
        <w:ind w:firstLine="960" w:firstLineChars="400"/>
        <w:rPr>
          <w:rFonts w:hint="eastAsia" w:ascii="宋体" w:hAnsi="宋体"/>
          <w:color w:val="000000"/>
          <w:sz w:val="24"/>
          <w:highlight w:val="none"/>
          <w:u w:val="single"/>
        </w:rPr>
      </w:pPr>
      <w:r>
        <w:rPr>
          <w:rFonts w:hint="eastAsia" w:ascii="宋体" w:hAnsi="宋体"/>
          <w:color w:val="000000"/>
          <w:sz w:val="24"/>
          <w:highlight w:val="none"/>
          <w:u w:val="single"/>
        </w:rPr>
        <w:t>②承包人投标报价综合单价中的材料、机械的单价大于基准日单价时</w:t>
      </w:r>
      <w:r>
        <w:rPr>
          <w:rFonts w:hint="eastAsia" w:ascii="宋体" w:hAnsi="宋体"/>
          <w:color w:val="000000"/>
          <w:sz w:val="24"/>
          <w:highlight w:val="none"/>
        </w:rPr>
        <w:t>：</w:t>
      </w:r>
    </w:p>
    <w:p>
      <w:pPr>
        <w:pageBreakBefore w:val="0"/>
        <w:kinsoku/>
        <w:topLinePunct w:val="0"/>
        <w:bidi w:val="0"/>
        <w:spacing w:line="360" w:lineRule="auto"/>
        <w:ind w:firstLine="1200" w:firstLineChars="500"/>
        <w:rPr>
          <w:rFonts w:hint="eastAsia" w:ascii="宋体" w:hAnsi="宋体"/>
          <w:color w:val="000000"/>
          <w:sz w:val="24"/>
          <w:highlight w:val="none"/>
          <w:u w:val="single"/>
        </w:rPr>
      </w:pPr>
      <w:r>
        <w:rPr>
          <w:rFonts w:hint="eastAsia" w:ascii="宋体" w:hAnsi="宋体"/>
          <w:color w:val="000000"/>
          <w:sz w:val="24"/>
          <w:highlight w:val="none"/>
          <w:u w:val="single"/>
        </w:rPr>
        <w:t>投标报价的单价×0.05×招标工程量清单中包含的材料或机械的数量。</w:t>
      </w:r>
    </w:p>
    <w:p>
      <w:pPr>
        <w:pageBreakBefore w:val="0"/>
        <w:kinsoku/>
        <w:topLinePunct w:val="0"/>
        <w:bidi w:val="0"/>
        <w:spacing w:line="360" w:lineRule="auto"/>
        <w:ind w:firstLine="472" w:firstLineChars="196"/>
        <w:rPr>
          <w:rFonts w:hint="eastAsia" w:ascii="宋体" w:hAnsi="宋体"/>
          <w:b/>
          <w:color w:val="000000"/>
          <w:sz w:val="24"/>
          <w:highlight w:val="none"/>
        </w:rPr>
      </w:pPr>
      <w:r>
        <w:rPr>
          <w:rFonts w:hint="eastAsia" w:ascii="宋体" w:hAnsi="宋体"/>
          <w:b/>
          <w:color w:val="000000"/>
          <w:sz w:val="24"/>
          <w:highlight w:val="none"/>
        </w:rPr>
        <w:t>风险范围以外合同价格的调整方法：</w:t>
      </w:r>
    </w:p>
    <w:p>
      <w:pPr>
        <w:pageBreakBefore w:val="0"/>
        <w:kinsoku/>
        <w:topLinePunct w:val="0"/>
        <w:bidi w:val="0"/>
        <w:spacing w:line="360" w:lineRule="auto"/>
        <w:ind w:left="840" w:leftChars="400" w:firstLine="120" w:firstLineChars="50"/>
        <w:rPr>
          <w:rFonts w:hint="eastAsia"/>
          <w:color w:val="000000"/>
          <w:sz w:val="24"/>
          <w:highlight w:val="none"/>
          <w:u w:val="single"/>
        </w:rPr>
      </w:pPr>
      <w:r>
        <w:rPr>
          <w:rFonts w:hint="eastAsia" w:ascii="宋体" w:hAnsi="宋体"/>
          <w:color w:val="000000"/>
          <w:sz w:val="24"/>
          <w:highlight w:val="none"/>
          <w:u w:val="single"/>
        </w:rPr>
        <w:t>①</w:t>
      </w:r>
      <w:r>
        <w:rPr>
          <w:rFonts w:hint="eastAsia"/>
          <w:color w:val="000000"/>
          <w:sz w:val="24"/>
          <w:highlight w:val="none"/>
          <w:u w:val="single"/>
        </w:rPr>
        <w:t>承包人投标报价中材料单价低于基准单价：施工期间材料单价涨幅以基准单价为基础超过合同约定的风险幅度值，或材料单价跌幅以投标报价为基础超过合同约定的风险幅度值时，其超过部分按实调整。</w:t>
      </w:r>
    </w:p>
    <w:p>
      <w:pPr>
        <w:pageBreakBefore w:val="0"/>
        <w:kinsoku/>
        <w:topLinePunct w:val="0"/>
        <w:bidi w:val="0"/>
        <w:spacing w:line="360" w:lineRule="auto"/>
        <w:ind w:left="1198" w:leftChars="456" w:hanging="240" w:hangingChars="100"/>
        <w:rPr>
          <w:rFonts w:hint="eastAsia"/>
          <w:color w:val="000000"/>
          <w:sz w:val="24"/>
          <w:highlight w:val="none"/>
          <w:u w:val="single"/>
        </w:rPr>
      </w:pPr>
      <w:r>
        <w:rPr>
          <w:rFonts w:hint="eastAsia" w:ascii="宋体" w:hAnsi="宋体"/>
          <w:color w:val="000000"/>
          <w:sz w:val="24"/>
          <w:highlight w:val="none"/>
          <w:u w:val="single"/>
        </w:rPr>
        <w:t>②</w:t>
      </w:r>
      <w:r>
        <w:rPr>
          <w:rFonts w:hint="eastAsia"/>
          <w:color w:val="000000"/>
          <w:sz w:val="24"/>
          <w:highlight w:val="none"/>
          <w:u w:val="single"/>
        </w:rPr>
        <w:t>承包人投标报价中材料单价高于基准单价：施工期间材料单价跌幅以基准单价为基础超过合同约定的风险幅度值，或材料单价涨幅以投标报价为基础超过合同约定的风险幅度值时，其超过部分按实调整。③承包人投标报价中材料单价等于基准单价：施工期间材料单价涨、跌幅以基准单价为基础超过合同约定的风险幅度值时，其超过部分按实调整。</w:t>
      </w:r>
    </w:p>
    <w:p>
      <w:pPr>
        <w:pageBreakBefore w:val="0"/>
        <w:kinsoku/>
        <w:topLinePunct w:val="0"/>
        <w:bidi w:val="0"/>
        <w:spacing w:line="360" w:lineRule="auto"/>
        <w:ind w:firstLine="492" w:firstLineChars="245"/>
        <w:rPr>
          <w:rFonts w:hint="eastAsia" w:ascii="宋体" w:hAnsi="宋体"/>
          <w:b/>
          <w:color w:val="000000"/>
          <w:sz w:val="24"/>
          <w:highlight w:val="none"/>
          <w:u w:val="single"/>
        </w:rPr>
      </w:pPr>
      <w:r>
        <w:rPr>
          <w:rFonts w:hint="eastAsia" w:ascii="宋体" w:hAnsi="宋体"/>
          <w:b/>
          <w:color w:val="000000"/>
          <w:spacing w:val="-20"/>
          <w:sz w:val="24"/>
          <w:highlight w:val="none"/>
          <w:u w:val="single"/>
        </w:rPr>
        <w:t>注:“</w:t>
      </w:r>
      <w:r>
        <w:rPr>
          <w:rFonts w:hint="eastAsia" w:ascii="宋体" w:hAnsi="宋体"/>
          <w:b/>
          <w:color w:val="000000"/>
          <w:sz w:val="24"/>
          <w:highlight w:val="none"/>
          <w:u w:val="single"/>
        </w:rPr>
        <w:t>基准单价”、“施工期间材料单价”均以《海南工程造价信息》公布的相应期间的海口地区单价为准，《海南工程造价信息》中缺价的，以双方确认的市场价为准。</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2、总价合同。</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总价包含的风险范围：</w:t>
      </w:r>
      <w:r>
        <w:rPr>
          <w:rFonts w:hint="eastAsia" w:ascii="宋体" w:hAnsi="宋体"/>
          <w:color w:val="000000"/>
          <w:sz w:val="24"/>
          <w:highlight w:val="none"/>
          <w:u w:val="single"/>
        </w:rPr>
        <w:t xml:space="preserve">  无 。</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风险费用的计算方法：</w:t>
      </w:r>
      <w:r>
        <w:rPr>
          <w:rFonts w:hint="eastAsia" w:ascii="宋体" w:hAnsi="宋体"/>
          <w:color w:val="000000"/>
          <w:sz w:val="24"/>
          <w:highlight w:val="none"/>
          <w:u w:val="single"/>
        </w:rPr>
        <w:t xml:space="preserve"> 无 。</w:t>
      </w:r>
    </w:p>
    <w:p>
      <w:pPr>
        <w:pageBreakBefore w:val="0"/>
        <w:kinsoku/>
        <w:topLinePunct w:val="0"/>
        <w:bidi w:val="0"/>
        <w:spacing w:line="360" w:lineRule="auto"/>
        <w:ind w:left="479" w:leftChars="228"/>
        <w:rPr>
          <w:rFonts w:hint="eastAsia" w:ascii="宋体" w:hAnsi="宋体"/>
          <w:color w:val="000000"/>
          <w:sz w:val="24"/>
          <w:highlight w:val="none"/>
          <w:u w:val="single"/>
        </w:rPr>
      </w:pPr>
      <w:r>
        <w:rPr>
          <w:rFonts w:hint="eastAsia" w:ascii="宋体" w:hAnsi="宋体"/>
          <w:color w:val="000000"/>
          <w:sz w:val="24"/>
          <w:highlight w:val="none"/>
        </w:rPr>
        <w:t>风险范围以外合同价格的调整方法：</w:t>
      </w:r>
      <w:r>
        <w:rPr>
          <w:rFonts w:hint="eastAsia" w:ascii="宋体" w:hAnsi="宋体"/>
          <w:color w:val="000000"/>
          <w:sz w:val="24"/>
          <w:highlight w:val="none"/>
          <w:u w:val="single"/>
        </w:rPr>
        <w:t xml:space="preserve"> 无 </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3、其他价格方式：</w:t>
      </w:r>
      <w:r>
        <w:rPr>
          <w:rFonts w:hint="eastAsia" w:ascii="宋体" w:hAnsi="宋体"/>
          <w:color w:val="000000"/>
          <w:sz w:val="24"/>
          <w:highlight w:val="none"/>
          <w:u w:val="single"/>
        </w:rPr>
        <w:t xml:space="preserve">  无  </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12.2 预付款</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12.2.1 预付款的支付</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预付款支付比例或金额：</w:t>
      </w:r>
      <w:r>
        <w:rPr>
          <w:rFonts w:hint="eastAsia" w:ascii="宋体" w:hAnsi="宋体"/>
          <w:color w:val="000000"/>
          <w:sz w:val="24"/>
          <w:highlight w:val="none"/>
          <w:u w:val="single"/>
        </w:rPr>
        <w:t xml:space="preserve"> </w:t>
      </w:r>
      <w:r>
        <w:rPr>
          <w:rFonts w:hint="eastAsia" w:ascii="宋体" w:hAnsi="宋体"/>
          <w:b/>
          <w:color w:val="000000"/>
          <w:sz w:val="24"/>
          <w:highlight w:val="none"/>
          <w:u w:val="single"/>
        </w:rPr>
        <w:t xml:space="preserve"> 无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预付款支付期限：</w:t>
      </w:r>
      <w:r>
        <w:rPr>
          <w:rFonts w:hint="eastAsia" w:ascii="宋体" w:hAnsi="宋体"/>
          <w:color w:val="000000"/>
          <w:sz w:val="24"/>
          <w:highlight w:val="none"/>
          <w:u w:val="single"/>
        </w:rPr>
        <w:t xml:space="preserve"> </w:t>
      </w:r>
      <w:r>
        <w:rPr>
          <w:rFonts w:hint="eastAsia" w:ascii="宋体" w:hAnsi="宋体"/>
          <w:b/>
          <w:color w:val="000000"/>
          <w:sz w:val="24"/>
          <w:highlight w:val="none"/>
          <w:u w:val="single"/>
        </w:rPr>
        <w:t>/</w:t>
      </w:r>
      <w:r>
        <w:rPr>
          <w:rFonts w:hint="eastAsia" w:ascii="宋体" w:hAnsi="宋体"/>
          <w:color w:val="000000"/>
          <w:sz w:val="24"/>
          <w:highlight w:val="none"/>
          <w:u w:val="single"/>
        </w:rPr>
        <w:t xml:space="preserve">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预付款扣回的方式：</w:t>
      </w:r>
      <w:r>
        <w:rPr>
          <w:rFonts w:hint="eastAsia" w:ascii="宋体" w:hAnsi="宋体"/>
          <w:color w:val="000000"/>
          <w:sz w:val="24"/>
          <w:highlight w:val="none"/>
          <w:u w:val="single"/>
        </w:rPr>
        <w:t xml:space="preserve"> </w:t>
      </w:r>
      <w:r>
        <w:rPr>
          <w:rFonts w:hint="eastAsia" w:ascii="宋体" w:hAnsi="宋体"/>
          <w:b/>
          <w:color w:val="000000"/>
          <w:sz w:val="24"/>
          <w:highlight w:val="none"/>
          <w:u w:val="single"/>
        </w:rPr>
        <w:t xml:space="preserve">/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12.2.2 预付款担保</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承包人提交预付款担保的期限：</w:t>
      </w:r>
      <w:r>
        <w:rPr>
          <w:rFonts w:hint="eastAsia" w:ascii="宋体" w:hAnsi="宋体"/>
          <w:color w:val="000000"/>
          <w:sz w:val="24"/>
          <w:highlight w:val="none"/>
          <w:u w:val="single"/>
        </w:rPr>
        <w:t xml:space="preserve">无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预付款担保的形式为：</w:t>
      </w:r>
      <w:r>
        <w:rPr>
          <w:rFonts w:hint="eastAsia" w:ascii="宋体" w:hAnsi="宋体"/>
          <w:color w:val="000000"/>
          <w:sz w:val="24"/>
          <w:highlight w:val="none"/>
          <w:u w:val="single"/>
        </w:rPr>
        <w:t xml:space="preserve"> 无               </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12.3 计量</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12.3.1 计量原则</w:t>
      </w:r>
    </w:p>
    <w:p>
      <w:pPr>
        <w:pageBreakBefore w:val="0"/>
        <w:kinsoku/>
        <w:topLinePunct w:val="0"/>
        <w:bidi w:val="0"/>
        <w:snapToGrid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 xml:space="preserve">工程量计算规则： </w:t>
      </w:r>
    </w:p>
    <w:p>
      <w:pPr>
        <w:pageBreakBefore w:val="0"/>
        <w:kinsoku/>
        <w:topLinePunct w:val="0"/>
        <w:bidi w:val="0"/>
        <w:snapToGrid w:val="0"/>
        <w:spacing w:line="360" w:lineRule="auto"/>
        <w:rPr>
          <w:rFonts w:hint="eastAsia" w:ascii="宋体" w:hAnsi="宋体"/>
          <w:color w:val="000000"/>
          <w:sz w:val="24"/>
          <w:highlight w:val="none"/>
        </w:rPr>
      </w:pPr>
      <w:r>
        <w:rPr>
          <w:rFonts w:hint="eastAsia" w:ascii="宋体" w:hAnsi="宋体"/>
          <w:b/>
          <w:color w:val="000000"/>
          <w:sz w:val="24"/>
          <w:highlight w:val="none"/>
        </w:rPr>
        <w:t>以工程量清单计价时，按下列相关的规范执行</w:t>
      </w:r>
      <w:r>
        <w:rPr>
          <w:rFonts w:hint="eastAsia" w:ascii="宋体" w:hAnsi="宋体"/>
          <w:color w:val="000000"/>
          <w:sz w:val="24"/>
          <w:highlight w:val="none"/>
        </w:rPr>
        <w:t>：</w:t>
      </w:r>
    </w:p>
    <w:p>
      <w:pPr>
        <w:pageBreakBefore w:val="0"/>
        <w:kinsoku/>
        <w:topLinePunct w:val="0"/>
        <w:bidi w:val="0"/>
        <w:snapToGrid w:val="0"/>
        <w:spacing w:line="360" w:lineRule="auto"/>
        <w:ind w:firstLine="480" w:firstLineChars="200"/>
        <w:rPr>
          <w:rFonts w:hint="eastAsia" w:ascii="宋体" w:hAnsi="宋体" w:cs="宋体"/>
          <w:color w:val="000000"/>
          <w:sz w:val="24"/>
          <w:highlight w:val="none"/>
          <w:u w:val="single"/>
        </w:rPr>
      </w:pPr>
      <w:r>
        <w:rPr>
          <w:rFonts w:hint="eastAsia" w:ascii="宋体" w:hAnsi="宋体" w:cs="宋体"/>
          <w:color w:val="000000"/>
          <w:sz w:val="24"/>
          <w:highlight w:val="none"/>
          <w:u w:val="single"/>
        </w:rPr>
        <w:t>1、《建设工程工程量清单计价规范》GB50500</w:t>
      </w:r>
      <w:r>
        <w:rPr>
          <w:rFonts w:ascii="宋体" w:hAnsi="宋体" w:cs="宋体"/>
          <w:color w:val="000000"/>
          <w:sz w:val="24"/>
          <w:highlight w:val="none"/>
          <w:u w:val="single"/>
        </w:rPr>
        <w:t>—</w:t>
      </w:r>
      <w:r>
        <w:rPr>
          <w:rFonts w:hint="eastAsia" w:ascii="宋体" w:hAnsi="宋体" w:cs="宋体"/>
          <w:color w:val="000000"/>
          <w:sz w:val="24"/>
          <w:highlight w:val="none"/>
          <w:u w:val="single"/>
        </w:rPr>
        <w:t>2013</w:t>
      </w:r>
    </w:p>
    <w:p>
      <w:pPr>
        <w:pageBreakBefore w:val="0"/>
        <w:kinsoku/>
        <w:topLinePunct w:val="0"/>
        <w:bidi w:val="0"/>
        <w:snapToGrid w:val="0"/>
        <w:spacing w:line="360" w:lineRule="auto"/>
        <w:ind w:firstLine="480" w:firstLineChars="200"/>
        <w:rPr>
          <w:rFonts w:hint="eastAsia" w:ascii="宋体" w:hAnsi="宋体" w:cs="宋体"/>
          <w:color w:val="000000"/>
          <w:sz w:val="24"/>
          <w:highlight w:val="none"/>
          <w:u w:val="single"/>
        </w:rPr>
      </w:pPr>
      <w:r>
        <w:rPr>
          <w:rFonts w:hint="eastAsia" w:ascii="宋体" w:hAnsi="宋体" w:cs="宋体"/>
          <w:color w:val="000000"/>
          <w:sz w:val="24"/>
          <w:highlight w:val="none"/>
          <w:u w:val="single"/>
        </w:rPr>
        <w:t>2、《房屋建筑与装饰工程工程量计算规范》GB50854--2013</w:t>
      </w:r>
    </w:p>
    <w:p>
      <w:pPr>
        <w:pageBreakBefore w:val="0"/>
        <w:kinsoku/>
        <w:topLinePunct w:val="0"/>
        <w:bidi w:val="0"/>
        <w:snapToGrid w:val="0"/>
        <w:spacing w:line="360" w:lineRule="auto"/>
        <w:ind w:firstLine="480" w:firstLineChars="200"/>
        <w:rPr>
          <w:rFonts w:hint="eastAsia" w:ascii="宋体" w:hAnsi="宋体" w:cs="宋体"/>
          <w:color w:val="000000"/>
          <w:sz w:val="24"/>
          <w:highlight w:val="none"/>
          <w:u w:val="single"/>
        </w:rPr>
      </w:pPr>
      <w:r>
        <w:rPr>
          <w:rFonts w:hint="eastAsia" w:ascii="宋体" w:hAnsi="宋体" w:cs="宋体"/>
          <w:color w:val="000000"/>
          <w:sz w:val="24"/>
          <w:highlight w:val="none"/>
          <w:u w:val="single"/>
        </w:rPr>
        <w:t>3、《仿古建筑工程工程量计算规范》GB50855--2013</w:t>
      </w:r>
    </w:p>
    <w:p>
      <w:pPr>
        <w:pageBreakBefore w:val="0"/>
        <w:kinsoku/>
        <w:topLinePunct w:val="0"/>
        <w:bidi w:val="0"/>
        <w:snapToGrid w:val="0"/>
        <w:spacing w:line="360" w:lineRule="auto"/>
        <w:ind w:firstLine="480" w:firstLineChars="200"/>
        <w:rPr>
          <w:rFonts w:hint="eastAsia" w:ascii="宋体" w:hAnsi="宋体" w:cs="宋体"/>
          <w:color w:val="000000"/>
          <w:sz w:val="24"/>
          <w:highlight w:val="none"/>
          <w:u w:val="single"/>
        </w:rPr>
      </w:pPr>
      <w:r>
        <w:rPr>
          <w:rFonts w:hint="eastAsia" w:ascii="宋体" w:hAnsi="宋体" w:cs="宋体"/>
          <w:color w:val="000000"/>
          <w:sz w:val="24"/>
          <w:highlight w:val="none"/>
          <w:u w:val="single"/>
        </w:rPr>
        <w:t>4、《通用安装工程工程量计算规范》GB50856--2013</w:t>
      </w:r>
    </w:p>
    <w:p>
      <w:pPr>
        <w:pageBreakBefore w:val="0"/>
        <w:kinsoku/>
        <w:topLinePunct w:val="0"/>
        <w:bidi w:val="0"/>
        <w:snapToGrid w:val="0"/>
        <w:spacing w:line="360" w:lineRule="auto"/>
        <w:ind w:firstLine="480" w:firstLineChars="200"/>
        <w:rPr>
          <w:rFonts w:hint="eastAsia" w:ascii="宋体" w:hAnsi="宋体" w:cs="宋体"/>
          <w:color w:val="000000"/>
          <w:sz w:val="24"/>
          <w:highlight w:val="none"/>
          <w:u w:val="single"/>
        </w:rPr>
      </w:pPr>
      <w:r>
        <w:rPr>
          <w:rFonts w:hint="eastAsia" w:ascii="宋体" w:hAnsi="宋体" w:cs="宋体"/>
          <w:color w:val="000000"/>
          <w:sz w:val="24"/>
          <w:highlight w:val="none"/>
          <w:u w:val="single"/>
        </w:rPr>
        <w:t>5、《市政工程工程量计算规范》GB50857--2013</w:t>
      </w:r>
    </w:p>
    <w:p>
      <w:pPr>
        <w:pageBreakBefore w:val="0"/>
        <w:kinsoku/>
        <w:topLinePunct w:val="0"/>
        <w:bidi w:val="0"/>
        <w:snapToGrid w:val="0"/>
        <w:spacing w:line="360" w:lineRule="auto"/>
        <w:ind w:firstLine="480" w:firstLineChars="200"/>
        <w:rPr>
          <w:rFonts w:hint="eastAsia" w:ascii="宋体" w:hAnsi="宋体" w:cs="宋体"/>
          <w:color w:val="000000"/>
          <w:sz w:val="24"/>
          <w:highlight w:val="none"/>
          <w:u w:val="single"/>
        </w:rPr>
      </w:pPr>
      <w:r>
        <w:rPr>
          <w:rFonts w:hint="eastAsia" w:ascii="宋体" w:hAnsi="宋体" w:cs="宋体"/>
          <w:color w:val="000000"/>
          <w:sz w:val="24"/>
          <w:highlight w:val="none"/>
          <w:u w:val="single"/>
        </w:rPr>
        <w:t>6、《园林绿化工程工程量计算规范》GB50858--2013</w:t>
      </w:r>
    </w:p>
    <w:p>
      <w:pPr>
        <w:pageBreakBefore w:val="0"/>
        <w:kinsoku/>
        <w:topLinePunct w:val="0"/>
        <w:bidi w:val="0"/>
        <w:snapToGrid w:val="0"/>
        <w:spacing w:line="360" w:lineRule="auto"/>
        <w:ind w:firstLine="480" w:firstLineChars="200"/>
        <w:rPr>
          <w:rFonts w:hint="eastAsia" w:ascii="宋体" w:hAnsi="宋体" w:cs="宋体"/>
          <w:color w:val="000000"/>
          <w:sz w:val="24"/>
          <w:highlight w:val="none"/>
          <w:u w:val="single"/>
        </w:rPr>
      </w:pPr>
      <w:r>
        <w:rPr>
          <w:rFonts w:hint="eastAsia" w:ascii="宋体" w:hAnsi="宋体" w:cs="宋体"/>
          <w:color w:val="000000"/>
          <w:sz w:val="24"/>
          <w:highlight w:val="none"/>
          <w:u w:val="single"/>
        </w:rPr>
        <w:t>7、《矿山工程工程量计算规范》GB50859--2013</w:t>
      </w:r>
    </w:p>
    <w:p>
      <w:pPr>
        <w:pageBreakBefore w:val="0"/>
        <w:kinsoku/>
        <w:topLinePunct w:val="0"/>
        <w:bidi w:val="0"/>
        <w:snapToGrid w:val="0"/>
        <w:spacing w:line="360" w:lineRule="auto"/>
        <w:ind w:firstLine="480" w:firstLineChars="200"/>
        <w:rPr>
          <w:rFonts w:hint="eastAsia" w:ascii="宋体" w:hAnsi="宋体" w:cs="宋体"/>
          <w:color w:val="000000"/>
          <w:sz w:val="24"/>
          <w:highlight w:val="none"/>
          <w:u w:val="single"/>
        </w:rPr>
      </w:pPr>
      <w:r>
        <w:rPr>
          <w:rFonts w:hint="eastAsia" w:ascii="宋体" w:hAnsi="宋体" w:cs="宋体"/>
          <w:color w:val="000000"/>
          <w:sz w:val="24"/>
          <w:highlight w:val="none"/>
          <w:u w:val="single"/>
        </w:rPr>
        <w:t>8、《构筑物工程工程量计算规范》GB50860--2013</w:t>
      </w:r>
    </w:p>
    <w:p>
      <w:pPr>
        <w:pageBreakBefore w:val="0"/>
        <w:kinsoku/>
        <w:topLinePunct w:val="0"/>
        <w:bidi w:val="0"/>
        <w:snapToGrid w:val="0"/>
        <w:spacing w:line="360" w:lineRule="auto"/>
        <w:ind w:firstLine="480" w:firstLineChars="200"/>
        <w:rPr>
          <w:rFonts w:hint="eastAsia" w:ascii="宋体" w:hAnsi="宋体" w:cs="宋体"/>
          <w:color w:val="000000"/>
          <w:sz w:val="24"/>
          <w:highlight w:val="none"/>
          <w:u w:val="single"/>
        </w:rPr>
      </w:pPr>
      <w:r>
        <w:rPr>
          <w:rFonts w:hint="eastAsia" w:ascii="宋体" w:hAnsi="宋体" w:cs="宋体"/>
          <w:color w:val="000000"/>
          <w:sz w:val="24"/>
          <w:highlight w:val="none"/>
          <w:u w:val="single"/>
        </w:rPr>
        <w:t>9、《城市轨道交通工程工程量计算规范》GB50861--2013</w:t>
      </w:r>
    </w:p>
    <w:p>
      <w:pPr>
        <w:pageBreakBefore w:val="0"/>
        <w:kinsoku/>
        <w:topLinePunct w:val="0"/>
        <w:bidi w:val="0"/>
        <w:snapToGrid w:val="0"/>
        <w:spacing w:line="360" w:lineRule="auto"/>
        <w:ind w:firstLine="480" w:firstLineChars="200"/>
        <w:rPr>
          <w:rFonts w:hint="eastAsia" w:ascii="宋体" w:hAnsi="宋体" w:cs="宋体"/>
          <w:color w:val="000000"/>
          <w:sz w:val="24"/>
          <w:highlight w:val="none"/>
          <w:u w:val="single"/>
        </w:rPr>
      </w:pPr>
      <w:r>
        <w:rPr>
          <w:rFonts w:hint="eastAsia" w:ascii="宋体" w:hAnsi="宋体" w:cs="宋体"/>
          <w:color w:val="000000"/>
          <w:sz w:val="24"/>
          <w:highlight w:val="none"/>
          <w:u w:val="single"/>
        </w:rPr>
        <w:t>10、《爆破工程工程量计算规范》GB50862</w:t>
      </w:r>
      <w:r>
        <w:rPr>
          <w:rFonts w:ascii="宋体" w:hAnsi="宋体" w:cs="宋体"/>
          <w:color w:val="000000"/>
          <w:sz w:val="24"/>
          <w:highlight w:val="none"/>
          <w:u w:val="single"/>
        </w:rPr>
        <w:t>—</w:t>
      </w:r>
      <w:r>
        <w:rPr>
          <w:rFonts w:hint="eastAsia" w:ascii="宋体" w:hAnsi="宋体" w:cs="宋体"/>
          <w:color w:val="000000"/>
          <w:sz w:val="24"/>
          <w:highlight w:val="none"/>
          <w:u w:val="single"/>
        </w:rPr>
        <w:t>2013</w:t>
      </w:r>
    </w:p>
    <w:p>
      <w:pPr>
        <w:pageBreakBefore w:val="0"/>
        <w:kinsoku/>
        <w:topLinePunct w:val="0"/>
        <w:bidi w:val="0"/>
        <w:snapToGrid w:val="0"/>
        <w:spacing w:line="360" w:lineRule="auto"/>
        <w:ind w:firstLine="480" w:firstLineChars="200"/>
        <w:rPr>
          <w:rFonts w:hint="eastAsia" w:ascii="宋体" w:hAnsi="宋体" w:cs="宋体"/>
          <w:color w:val="000000"/>
          <w:sz w:val="24"/>
          <w:highlight w:val="none"/>
          <w:u w:val="single"/>
        </w:rPr>
      </w:pPr>
      <w:r>
        <w:rPr>
          <w:rFonts w:hint="eastAsia" w:ascii="宋体" w:hAnsi="宋体" w:cs="宋体"/>
          <w:color w:val="000000"/>
          <w:sz w:val="24"/>
          <w:highlight w:val="none"/>
          <w:u w:val="single"/>
        </w:rPr>
        <w:t>11、《水利工程工程量清单计价规范》GB50501-2007</w:t>
      </w:r>
    </w:p>
    <w:p>
      <w:pPr>
        <w:pageBreakBefore w:val="0"/>
        <w:kinsoku/>
        <w:topLinePunct w:val="0"/>
        <w:bidi w:val="0"/>
        <w:snapToGrid w:val="0"/>
        <w:spacing w:line="360" w:lineRule="auto"/>
        <w:rPr>
          <w:rFonts w:hint="eastAsia" w:ascii="宋体" w:hAnsi="宋体" w:cs="宋体"/>
          <w:b/>
          <w:color w:val="000000"/>
          <w:sz w:val="24"/>
          <w:highlight w:val="none"/>
          <w:u w:val="single"/>
        </w:rPr>
      </w:pPr>
      <w:r>
        <w:rPr>
          <w:rFonts w:hint="eastAsia" w:ascii="宋体" w:hAnsi="宋体" w:cs="宋体"/>
          <w:b/>
          <w:color w:val="000000"/>
          <w:sz w:val="24"/>
          <w:highlight w:val="none"/>
          <w:u w:val="single"/>
        </w:rPr>
        <w:t>以定额计价时，按下列相关的定额执行：</w:t>
      </w:r>
    </w:p>
    <w:p>
      <w:pPr>
        <w:pageBreakBefore w:val="0"/>
        <w:kinsoku/>
        <w:topLinePunct w:val="0"/>
        <w:bidi w:val="0"/>
        <w:spacing w:line="360" w:lineRule="auto"/>
        <w:ind w:firstLine="480" w:firstLineChars="200"/>
        <w:rPr>
          <w:rFonts w:hint="eastAsia" w:ascii="宋体" w:hAnsi="宋体"/>
          <w:color w:val="000000"/>
          <w:sz w:val="24"/>
          <w:highlight w:val="none"/>
          <w:u w:val="single"/>
        </w:rPr>
      </w:pPr>
      <w:r>
        <w:rPr>
          <w:rFonts w:hint="eastAsia" w:ascii="宋体" w:hAnsi="宋体"/>
          <w:color w:val="000000"/>
          <w:sz w:val="24"/>
          <w:highlight w:val="none"/>
          <w:u w:val="single"/>
        </w:rPr>
        <w:t>1、《海南省建设工程计价定额</w:t>
      </w:r>
      <w:r>
        <w:rPr>
          <w:rFonts w:ascii="宋体" w:hAnsi="宋体"/>
          <w:color w:val="000000"/>
          <w:sz w:val="24"/>
          <w:highlight w:val="none"/>
          <w:u w:val="single"/>
        </w:rPr>
        <w:t>—</w:t>
      </w:r>
      <w:r>
        <w:rPr>
          <w:rFonts w:hint="eastAsia" w:ascii="宋体" w:hAnsi="宋体"/>
          <w:color w:val="000000"/>
          <w:sz w:val="24"/>
          <w:highlight w:val="none"/>
          <w:u w:val="single"/>
        </w:rPr>
        <w:t>房屋建筑与装饰工程》（2011）、</w:t>
      </w:r>
    </w:p>
    <w:p>
      <w:pPr>
        <w:pageBreakBefore w:val="0"/>
        <w:kinsoku/>
        <w:topLinePunct w:val="0"/>
        <w:bidi w:val="0"/>
        <w:spacing w:line="360" w:lineRule="auto"/>
        <w:ind w:firstLine="480" w:firstLineChars="200"/>
        <w:rPr>
          <w:rFonts w:hint="eastAsia" w:ascii="宋体" w:hAnsi="宋体"/>
          <w:color w:val="000000"/>
          <w:sz w:val="24"/>
          <w:highlight w:val="none"/>
          <w:u w:val="single"/>
        </w:rPr>
      </w:pPr>
      <w:r>
        <w:rPr>
          <w:rFonts w:hint="eastAsia" w:ascii="宋体" w:hAnsi="宋体"/>
          <w:color w:val="000000"/>
          <w:sz w:val="24"/>
          <w:highlight w:val="none"/>
          <w:u w:val="single"/>
        </w:rPr>
        <w:t>2、《海南省建设工程计价定额</w:t>
      </w:r>
      <w:r>
        <w:rPr>
          <w:rFonts w:ascii="宋体" w:hAnsi="宋体"/>
          <w:color w:val="000000"/>
          <w:sz w:val="24"/>
          <w:highlight w:val="none"/>
          <w:u w:val="single"/>
        </w:rPr>
        <w:t>—</w:t>
      </w:r>
      <w:r>
        <w:rPr>
          <w:rFonts w:hint="eastAsia" w:ascii="宋体" w:hAnsi="宋体"/>
          <w:color w:val="000000"/>
          <w:sz w:val="24"/>
          <w:highlight w:val="none"/>
          <w:u w:val="single"/>
        </w:rPr>
        <w:t>市政工程》（2011）、</w:t>
      </w:r>
    </w:p>
    <w:p>
      <w:pPr>
        <w:pageBreakBefore w:val="0"/>
        <w:kinsoku/>
        <w:topLinePunct w:val="0"/>
        <w:bidi w:val="0"/>
        <w:spacing w:line="360" w:lineRule="auto"/>
        <w:ind w:firstLine="480" w:firstLineChars="200"/>
        <w:rPr>
          <w:rFonts w:hint="eastAsia" w:ascii="宋体" w:hAnsi="宋体"/>
          <w:color w:val="000000"/>
          <w:sz w:val="24"/>
          <w:highlight w:val="none"/>
          <w:u w:val="single"/>
        </w:rPr>
      </w:pPr>
      <w:r>
        <w:rPr>
          <w:rFonts w:hint="eastAsia" w:ascii="宋体" w:hAnsi="宋体"/>
          <w:color w:val="000000"/>
          <w:sz w:val="24"/>
          <w:highlight w:val="none"/>
          <w:u w:val="single"/>
        </w:rPr>
        <w:t>3、《海南省安装工程综合定额》（2008）、</w:t>
      </w:r>
    </w:p>
    <w:p>
      <w:pPr>
        <w:pageBreakBefore w:val="0"/>
        <w:kinsoku/>
        <w:topLinePunct w:val="0"/>
        <w:bidi w:val="0"/>
        <w:spacing w:line="360" w:lineRule="auto"/>
        <w:ind w:firstLine="480" w:firstLineChars="200"/>
        <w:rPr>
          <w:rFonts w:hint="eastAsia" w:ascii="宋体" w:hAnsi="宋体"/>
          <w:color w:val="000000"/>
          <w:sz w:val="24"/>
          <w:highlight w:val="none"/>
          <w:u w:val="single"/>
        </w:rPr>
      </w:pPr>
      <w:r>
        <w:rPr>
          <w:rFonts w:hint="eastAsia" w:ascii="宋体" w:hAnsi="宋体"/>
          <w:color w:val="000000"/>
          <w:sz w:val="24"/>
          <w:highlight w:val="none"/>
          <w:u w:val="single"/>
        </w:rPr>
        <w:t>4、《海南省装饰装修工程综合定额》（</w:t>
      </w:r>
      <w:r>
        <w:rPr>
          <w:rFonts w:ascii="宋体" w:hAnsi="宋体"/>
          <w:color w:val="000000"/>
          <w:sz w:val="24"/>
          <w:highlight w:val="none"/>
          <w:u w:val="single"/>
        </w:rPr>
        <w:t>2008</w:t>
      </w:r>
      <w:r>
        <w:rPr>
          <w:rFonts w:hint="eastAsia" w:ascii="宋体" w:hAnsi="宋体"/>
          <w:color w:val="000000"/>
          <w:sz w:val="24"/>
          <w:highlight w:val="none"/>
          <w:u w:val="single"/>
        </w:rPr>
        <w:t>）、</w:t>
      </w:r>
    </w:p>
    <w:p>
      <w:pPr>
        <w:pageBreakBefore w:val="0"/>
        <w:kinsoku/>
        <w:topLinePunct w:val="0"/>
        <w:bidi w:val="0"/>
        <w:spacing w:line="360" w:lineRule="auto"/>
        <w:ind w:firstLine="480" w:firstLineChars="200"/>
        <w:rPr>
          <w:rFonts w:hint="eastAsia" w:ascii="宋体" w:hAnsi="宋体"/>
          <w:color w:val="000000"/>
          <w:sz w:val="24"/>
          <w:highlight w:val="none"/>
          <w:u w:val="single"/>
        </w:rPr>
      </w:pPr>
      <w:r>
        <w:rPr>
          <w:rFonts w:hint="eastAsia" w:ascii="宋体" w:hAnsi="宋体"/>
          <w:color w:val="000000"/>
          <w:sz w:val="24"/>
          <w:highlight w:val="none"/>
          <w:u w:val="single"/>
        </w:rPr>
        <w:t>5、《海南省园林绿化与仿古建筑工程综合定额》（2013）、</w:t>
      </w:r>
    </w:p>
    <w:p>
      <w:pPr>
        <w:pageBreakBefore w:val="0"/>
        <w:kinsoku/>
        <w:topLinePunct w:val="0"/>
        <w:bidi w:val="0"/>
        <w:spacing w:line="360" w:lineRule="auto"/>
        <w:ind w:firstLine="480" w:firstLineChars="200"/>
        <w:rPr>
          <w:rFonts w:hint="eastAsia" w:ascii="宋体" w:hAnsi="宋体"/>
          <w:color w:val="000000"/>
          <w:sz w:val="24"/>
          <w:highlight w:val="none"/>
          <w:u w:val="single"/>
        </w:rPr>
      </w:pPr>
      <w:r>
        <w:rPr>
          <w:rFonts w:hint="eastAsia" w:ascii="宋体" w:hAnsi="宋体"/>
          <w:color w:val="000000"/>
          <w:sz w:val="24"/>
          <w:highlight w:val="none"/>
          <w:u w:val="single"/>
        </w:rPr>
        <w:t>6、《海南省房屋修缮与抗震加固综合定额》（2015）、</w:t>
      </w:r>
    </w:p>
    <w:p>
      <w:pPr>
        <w:pageBreakBefore w:val="0"/>
        <w:kinsoku/>
        <w:topLinePunct w:val="0"/>
        <w:bidi w:val="0"/>
        <w:spacing w:line="360" w:lineRule="auto"/>
        <w:ind w:firstLine="480" w:firstLineChars="200"/>
        <w:rPr>
          <w:rFonts w:hint="eastAsia" w:ascii="宋体" w:hAnsi="宋体"/>
          <w:color w:val="000000"/>
          <w:sz w:val="24"/>
          <w:highlight w:val="none"/>
          <w:u w:val="single"/>
        </w:rPr>
      </w:pPr>
      <w:r>
        <w:rPr>
          <w:rFonts w:hint="eastAsia" w:ascii="宋体" w:hAnsi="宋体"/>
          <w:color w:val="000000"/>
          <w:sz w:val="24"/>
          <w:highlight w:val="none"/>
          <w:u w:val="single"/>
        </w:rPr>
        <w:t xml:space="preserve">7、《海南省党政机关办公用房维修定额》（2015） </w:t>
      </w:r>
    </w:p>
    <w:p>
      <w:pPr>
        <w:pageBreakBefore w:val="0"/>
        <w:kinsoku/>
        <w:topLinePunct w:val="0"/>
        <w:bidi w:val="0"/>
        <w:spacing w:line="360" w:lineRule="auto"/>
        <w:ind w:firstLine="480" w:firstLineChars="200"/>
        <w:rPr>
          <w:rFonts w:hint="eastAsia" w:ascii="宋体" w:hAnsi="宋体"/>
          <w:color w:val="000000"/>
          <w:sz w:val="24"/>
          <w:highlight w:val="none"/>
          <w:u w:val="single"/>
        </w:rPr>
      </w:pPr>
      <w:r>
        <w:rPr>
          <w:rFonts w:hint="eastAsia" w:ascii="宋体" w:hAnsi="宋体"/>
          <w:color w:val="000000"/>
          <w:sz w:val="24"/>
          <w:highlight w:val="none"/>
          <w:u w:val="single"/>
        </w:rPr>
        <w:t>8、《海南省市政公用工程设计预算编制办法与费用标准》（琼水利基[2000]103号文）、</w:t>
      </w:r>
    </w:p>
    <w:p>
      <w:pPr>
        <w:pageBreakBefore w:val="0"/>
        <w:kinsoku/>
        <w:topLinePunct w:val="0"/>
        <w:bidi w:val="0"/>
        <w:spacing w:line="360" w:lineRule="auto"/>
        <w:ind w:firstLine="480" w:firstLineChars="200"/>
        <w:rPr>
          <w:rFonts w:hint="eastAsia"/>
          <w:color w:val="000000"/>
          <w:highlight w:val="none"/>
        </w:rPr>
      </w:pPr>
      <w:r>
        <w:rPr>
          <w:rFonts w:hint="eastAsia" w:ascii="宋体" w:hAnsi="宋体"/>
          <w:color w:val="000000"/>
          <w:sz w:val="24"/>
          <w:highlight w:val="none"/>
          <w:u w:val="single"/>
        </w:rPr>
        <w:t>9、《海南省市政公用建筑工程预算定额》（琼水利基[2000]103号文）。</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12.3.2 计量周期</w:t>
      </w:r>
    </w:p>
    <w:p>
      <w:pPr>
        <w:pageBreakBefore w:val="0"/>
        <w:kinsoku/>
        <w:topLinePunct w:val="0"/>
        <w:bidi w:val="0"/>
        <w:spacing w:line="360" w:lineRule="auto"/>
        <w:ind w:firstLine="480" w:firstLineChars="200"/>
        <w:rPr>
          <w:rFonts w:hint="eastAsia" w:ascii="宋体" w:hAnsi="宋体"/>
          <w:b/>
          <w:color w:val="000000"/>
          <w:highlight w:val="none"/>
          <w:u w:val="single"/>
        </w:rPr>
      </w:pPr>
      <w:r>
        <w:rPr>
          <w:rFonts w:hint="eastAsia" w:ascii="宋体" w:hAnsi="宋体"/>
          <w:color w:val="000000"/>
          <w:sz w:val="24"/>
          <w:highlight w:val="none"/>
        </w:rPr>
        <w:t>关于计量周期的约定：</w:t>
      </w:r>
      <w:r>
        <w:rPr>
          <w:rFonts w:hint="eastAsia" w:ascii="宋体" w:hAnsi="宋体"/>
          <w:color w:val="000000"/>
          <w:highlight w:val="none"/>
          <w:u w:val="single"/>
        </w:rPr>
        <w:t>按“通用条款”执行</w:t>
      </w:r>
      <w:r>
        <w:rPr>
          <w:rFonts w:hint="eastAsia" w:ascii="宋体" w:hAnsi="宋体"/>
          <w:b/>
          <w:color w:val="000000"/>
          <w:highlight w:val="none"/>
          <w:u w:val="singl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12.3.3 单价合同的计量</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关于单价合同计量的约定：</w:t>
      </w:r>
      <w:r>
        <w:rPr>
          <w:rFonts w:hint="eastAsia" w:ascii="宋体" w:hAnsi="宋体"/>
          <w:color w:val="000000"/>
          <w:sz w:val="24"/>
          <w:highlight w:val="none"/>
          <w:u w:val="single"/>
        </w:rPr>
        <w:t xml:space="preserve"> </w:t>
      </w:r>
      <w:r>
        <w:rPr>
          <w:rFonts w:hint="eastAsia" w:ascii="宋体" w:hAnsi="宋体"/>
          <w:color w:val="000000"/>
          <w:highlight w:val="none"/>
          <w:u w:val="single"/>
        </w:rPr>
        <w:t xml:space="preserve">按“通用条款”执行 </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12.3.4 总价合同的计量</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关于总价合同计量的约定：</w:t>
      </w:r>
      <w:r>
        <w:rPr>
          <w:rFonts w:hint="eastAsia" w:ascii="宋体" w:hAnsi="宋体"/>
          <w:color w:val="000000"/>
          <w:highlight w:val="none"/>
          <w:u w:val="single"/>
        </w:rPr>
        <w:t xml:space="preserve">按“通用条款”执行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12.3.5总价合同采用支付分解表计量支付的，是否适用第</w:t>
      </w:r>
      <w:r>
        <w:rPr>
          <w:rFonts w:hint="eastAsia" w:ascii="宋体" w:hAnsi="宋体"/>
          <w:color w:val="000000"/>
          <w:kern w:val="0"/>
          <w:sz w:val="24"/>
          <w:highlight w:val="none"/>
        </w:rPr>
        <w:t xml:space="preserve">12.3.4 </w:t>
      </w:r>
      <w:r>
        <w:rPr>
          <w:rFonts w:hint="eastAsia" w:ascii="宋体" w:hAnsi="宋体"/>
          <w:color w:val="000000"/>
          <w:sz w:val="24"/>
          <w:highlight w:val="none"/>
        </w:rPr>
        <w:t>项</w:t>
      </w:r>
      <w:r>
        <w:rPr>
          <w:rFonts w:hint="eastAsia" w:ascii="宋体" w:hAnsi="宋体"/>
          <w:color w:val="000000"/>
          <w:kern w:val="0"/>
          <w:sz w:val="24"/>
          <w:highlight w:val="none"/>
        </w:rPr>
        <w:t>〔总价合同的计量〕</w:t>
      </w:r>
      <w:r>
        <w:rPr>
          <w:rFonts w:hint="eastAsia" w:ascii="宋体" w:hAnsi="宋体"/>
          <w:color w:val="000000"/>
          <w:sz w:val="24"/>
          <w:highlight w:val="none"/>
        </w:rPr>
        <w:t>约定进行计量：</w:t>
      </w:r>
      <w:r>
        <w:rPr>
          <w:rFonts w:hint="eastAsia" w:ascii="宋体" w:hAnsi="宋体"/>
          <w:color w:val="000000"/>
          <w:sz w:val="24"/>
          <w:highlight w:val="none"/>
          <w:u w:val="single"/>
        </w:rPr>
        <w:t xml:space="preserve">                                          </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12.3.6 其他价格形式合同的计量</w:t>
      </w:r>
    </w:p>
    <w:p>
      <w:pPr>
        <w:pageBreakBefore w:val="0"/>
        <w:kinsoku/>
        <w:topLinePunct w:val="0"/>
        <w:bidi w:val="0"/>
        <w:spacing w:line="360" w:lineRule="auto"/>
        <w:ind w:firstLine="480" w:firstLineChars="200"/>
        <w:rPr>
          <w:rFonts w:hint="eastAsia" w:ascii="宋体" w:hAnsi="宋体"/>
          <w:color w:val="000000"/>
          <w:sz w:val="24"/>
          <w:highlight w:val="none"/>
          <w:u w:val="single"/>
        </w:rPr>
      </w:pPr>
      <w:r>
        <w:rPr>
          <w:rFonts w:hint="eastAsia" w:ascii="宋体" w:hAnsi="宋体"/>
          <w:color w:val="000000"/>
          <w:sz w:val="24"/>
          <w:highlight w:val="none"/>
        </w:rPr>
        <w:t>其他价格形式的计量方式和程序：</w:t>
      </w:r>
      <w:r>
        <w:rPr>
          <w:rFonts w:hint="eastAsia" w:ascii="宋体" w:hAnsi="宋体"/>
          <w:color w:val="000000"/>
          <w:sz w:val="24"/>
          <w:highlight w:val="none"/>
          <w:u w:val="single"/>
        </w:rPr>
        <w:t xml:space="preserve">                                  </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 xml:space="preserve">12.4 工程进度款支付 </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12.4.1 付款周期</w:t>
      </w:r>
    </w:p>
    <w:p>
      <w:pPr>
        <w:pageBreakBefore w:val="0"/>
        <w:kinsoku/>
        <w:topLinePunct w:val="0"/>
        <w:bidi w:val="0"/>
        <w:spacing w:line="360" w:lineRule="auto"/>
        <w:ind w:firstLine="480" w:firstLineChars="200"/>
        <w:rPr>
          <w:rFonts w:hint="eastAsia" w:ascii="宋体" w:hAnsi="宋体"/>
          <w:b/>
          <w:color w:val="000000"/>
          <w:highlight w:val="none"/>
          <w:u w:val="single"/>
        </w:rPr>
      </w:pPr>
      <w:r>
        <w:rPr>
          <w:rFonts w:hint="eastAsia" w:ascii="宋体" w:hAnsi="宋体"/>
          <w:color w:val="000000"/>
          <w:sz w:val="24"/>
          <w:highlight w:val="none"/>
        </w:rPr>
        <w:t>关于付款周期的约定：</w:t>
      </w:r>
      <w:r>
        <w:rPr>
          <w:rFonts w:hint="eastAsia" w:ascii="宋体" w:hAnsi="宋体"/>
          <w:color w:val="000000"/>
          <w:sz w:val="24"/>
          <w:highlight w:val="none"/>
          <w:u w:val="single"/>
        </w:rPr>
        <w:t>每一个月为一个进度款的付款周期</w:t>
      </w:r>
      <w:r>
        <w:rPr>
          <w:rFonts w:hint="eastAsia" w:ascii="宋体" w:hAnsi="宋体"/>
          <w:color w:val="000000"/>
          <w:highlight w:val="none"/>
          <w:u w:val="singl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12.4.2 进度付款申请单的编制</w:t>
      </w:r>
    </w:p>
    <w:p>
      <w:pPr>
        <w:pageBreakBefore w:val="0"/>
        <w:kinsoku/>
        <w:topLinePunct w:val="0"/>
        <w:bidi w:val="0"/>
        <w:spacing w:line="360" w:lineRule="auto"/>
        <w:ind w:firstLine="464" w:firstLineChars="200"/>
        <w:rPr>
          <w:rFonts w:hint="eastAsia" w:ascii="宋体" w:hAnsi="宋体"/>
          <w:color w:val="000000"/>
          <w:sz w:val="24"/>
          <w:highlight w:val="none"/>
          <w:u w:val="single"/>
        </w:rPr>
      </w:pPr>
      <w:r>
        <w:rPr>
          <w:rFonts w:hint="eastAsia" w:ascii="宋体" w:hAnsi="宋体"/>
          <w:color w:val="000000"/>
          <w:spacing w:val="-4"/>
          <w:sz w:val="24"/>
          <w:highlight w:val="none"/>
        </w:rPr>
        <w:t>关于进度付款申请单编制的约定：</w:t>
      </w:r>
      <w:r>
        <w:rPr>
          <w:rFonts w:hint="eastAsia" w:ascii="宋体" w:hAnsi="宋体"/>
          <w:color w:val="000000"/>
          <w:sz w:val="24"/>
          <w:highlight w:val="none"/>
          <w:u w:val="single"/>
        </w:rPr>
        <w:t>每月25日前，承包人按上月已完成的工程量申报进度款。进度款经监理工程师审核并报发包人核定后，</w:t>
      </w:r>
      <w:r>
        <w:rPr>
          <w:rFonts w:hint="eastAsia" w:ascii="宋体" w:hAnsi="宋体"/>
          <w:color w:val="000000"/>
          <w:spacing w:val="-2"/>
          <w:sz w:val="24"/>
          <w:highlight w:val="none"/>
          <w:u w:val="single"/>
        </w:rPr>
        <w:t>按12.4.4（2）条约定支付</w:t>
      </w:r>
      <w:r>
        <w:rPr>
          <w:rFonts w:hint="eastAsia" w:ascii="宋体" w:hAnsi="宋体" w:cs="宋体"/>
          <w:color w:val="000000"/>
          <w:sz w:val="24"/>
          <w:highlight w:val="none"/>
          <w:u w:val="singl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12.4.3 进度付款申请单的提交</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（1）单价合同进度付款申请单提交的约定：</w:t>
      </w:r>
      <w:r>
        <w:rPr>
          <w:rFonts w:hint="eastAsia" w:ascii="宋体" w:hAnsi="宋体"/>
          <w:color w:val="000000"/>
          <w:sz w:val="24"/>
          <w:highlight w:val="none"/>
          <w:u w:val="single"/>
        </w:rPr>
        <w:t xml:space="preserve">  </w:t>
      </w:r>
      <w:r>
        <w:rPr>
          <w:rFonts w:hint="eastAsia" w:ascii="宋体" w:hAnsi="宋体"/>
          <w:color w:val="000000"/>
          <w:highlight w:val="none"/>
          <w:u w:val="single"/>
        </w:rPr>
        <w:t>按发包人要求</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（2）总价合同进度付款申请单提交的约定：</w:t>
      </w:r>
      <w:r>
        <w:rPr>
          <w:rFonts w:hint="eastAsia" w:ascii="宋体" w:hAnsi="宋体"/>
          <w:color w:val="000000"/>
          <w:sz w:val="24"/>
          <w:highlight w:val="none"/>
          <w:u w:val="single"/>
        </w:rPr>
        <w:t xml:space="preserve">  </w:t>
      </w:r>
      <w:r>
        <w:rPr>
          <w:rFonts w:hint="eastAsia" w:ascii="宋体" w:hAnsi="宋体"/>
          <w:color w:val="000000"/>
          <w:highlight w:val="none"/>
          <w:u w:val="single"/>
        </w:rPr>
        <w:t>按发包人要求</w:t>
      </w:r>
      <w:r>
        <w:rPr>
          <w:rFonts w:hint="eastAsia" w:ascii="宋体" w:hAnsi="宋体"/>
          <w:color w:val="000000"/>
          <w:sz w:val="24"/>
          <w:highlight w:val="none"/>
          <w:u w:val="single"/>
        </w:rPr>
        <w:t xml:space="preserve">  </w:t>
      </w:r>
      <w:r>
        <w:rPr>
          <w:rFonts w:hint="eastAsia" w:ascii="宋体" w:hAnsi="宋体"/>
          <w:color w:val="000000"/>
          <w:sz w:val="24"/>
          <w:highlight w:val="none"/>
        </w:rPr>
        <w:t>。</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（3）其他价格形式合同进度付款申请单提交的约定：</w:t>
      </w:r>
      <w:r>
        <w:rPr>
          <w:rFonts w:hint="eastAsia" w:ascii="宋体" w:hAnsi="宋体"/>
          <w:color w:val="000000"/>
          <w:highlight w:val="none"/>
          <w:u w:val="single"/>
        </w:rPr>
        <w:t>按发包人要求</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12.4.4 进度款审核和支付</w:t>
      </w:r>
    </w:p>
    <w:p>
      <w:pPr>
        <w:pageBreakBefore w:val="0"/>
        <w:kinsoku/>
        <w:topLinePunct w:val="0"/>
        <w:bidi w:val="0"/>
        <w:spacing w:line="360" w:lineRule="auto"/>
        <w:ind w:firstLine="480" w:firstLineChars="200"/>
        <w:rPr>
          <w:rFonts w:hint="eastAsia" w:ascii="宋体" w:hAnsi="宋体"/>
          <w:color w:val="000000"/>
          <w:sz w:val="24"/>
          <w:highlight w:val="none"/>
          <w:u w:val="single"/>
        </w:rPr>
      </w:pPr>
      <w:r>
        <w:rPr>
          <w:rFonts w:hint="eastAsia" w:ascii="宋体" w:hAnsi="宋体"/>
          <w:color w:val="000000"/>
          <w:sz w:val="24"/>
          <w:highlight w:val="none"/>
        </w:rPr>
        <w:t>（1）监理人审查并报送发包人的期限：</w:t>
      </w:r>
      <w:r>
        <w:rPr>
          <w:rFonts w:hint="eastAsia" w:ascii="宋体" w:hAnsi="宋体"/>
          <w:color w:val="000000"/>
          <w:sz w:val="24"/>
          <w:highlight w:val="none"/>
          <w:u w:val="single"/>
        </w:rPr>
        <w:t xml:space="preserve"> 收到后5天内 </w:t>
      </w:r>
      <w:r>
        <w:rPr>
          <w:rFonts w:hint="eastAsia" w:ascii="宋体" w:hAnsi="宋体"/>
          <w:color w:val="000000"/>
          <w:sz w:val="24"/>
          <w:highlight w:val="none"/>
        </w:rPr>
        <w:t>。</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发包人完成审批并签发进度款支付证书的期限：</w:t>
      </w:r>
      <w:r>
        <w:rPr>
          <w:rFonts w:hint="eastAsia" w:ascii="宋体" w:hAnsi="宋体"/>
          <w:color w:val="000000"/>
          <w:sz w:val="24"/>
          <w:highlight w:val="none"/>
          <w:u w:val="single"/>
        </w:rPr>
        <w:t xml:space="preserve"> 从申报日起9天内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（2）发包人支付进度款的期限：</w:t>
      </w:r>
      <w:r>
        <w:rPr>
          <w:rFonts w:hint="eastAsia" w:ascii="宋体" w:hAnsi="宋体"/>
          <w:color w:val="000000"/>
          <w:sz w:val="24"/>
          <w:highlight w:val="none"/>
          <w:u w:val="single"/>
        </w:rPr>
        <w:t xml:space="preserve"> 从承包人申报日起10天内  </w:t>
      </w:r>
      <w:r>
        <w:rPr>
          <w:rFonts w:hint="eastAsia" w:ascii="宋体" w:hAnsi="宋体"/>
          <w:color w:val="000000"/>
          <w:sz w:val="24"/>
          <w:highlight w:val="none"/>
        </w:rPr>
        <w:t>。</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发包人逾期支付进度款的违约金的计算方式：</w:t>
      </w:r>
      <w:r>
        <w:rPr>
          <w:rFonts w:hint="eastAsia" w:ascii="宋体" w:hAnsi="宋体"/>
          <w:color w:val="000000"/>
          <w:sz w:val="24"/>
          <w:highlight w:val="none"/>
          <w:u w:val="single"/>
        </w:rPr>
        <w:t xml:space="preserve"> 按应付金额的每日千分之五计付 </w:t>
      </w:r>
      <w:r>
        <w:rPr>
          <w:rFonts w:hint="eastAsia" w:ascii="宋体" w:hAnsi="宋体"/>
          <w:color w:val="000000"/>
          <w:sz w:val="24"/>
          <w:highlight w:val="none"/>
        </w:rPr>
        <w:t>。</w:t>
      </w:r>
    </w:p>
    <w:p>
      <w:pPr>
        <w:pageBreakBefore w:val="0"/>
        <w:kinsoku/>
        <w:topLinePunct w:val="0"/>
        <w:bidi w:val="0"/>
        <w:spacing w:line="360" w:lineRule="auto"/>
        <w:ind w:firstLine="602" w:firstLineChars="250"/>
        <w:rPr>
          <w:rFonts w:hint="eastAsia" w:ascii="宋体" w:hAnsi="宋体"/>
          <w:b/>
          <w:color w:val="000000"/>
          <w:sz w:val="24"/>
          <w:highlight w:val="none"/>
        </w:rPr>
      </w:pPr>
      <w:r>
        <w:rPr>
          <w:rFonts w:hint="eastAsia" w:ascii="宋体" w:hAnsi="宋体"/>
          <w:b/>
          <w:color w:val="000000"/>
          <w:sz w:val="24"/>
          <w:highlight w:val="none"/>
        </w:rPr>
        <w:t>12.4.6 支付分解表的编制</w:t>
      </w:r>
    </w:p>
    <w:p>
      <w:pPr>
        <w:pageBreakBefore w:val="0"/>
        <w:kinsoku/>
        <w:topLinePunct w:val="0"/>
        <w:bidi w:val="0"/>
        <w:spacing w:line="360" w:lineRule="auto"/>
        <w:ind w:firstLine="480" w:firstLineChars="200"/>
        <w:rPr>
          <w:rFonts w:hint="eastAsia" w:ascii="宋体" w:hAnsi="宋体"/>
          <w:color w:val="000000"/>
          <w:sz w:val="24"/>
          <w:highlight w:val="none"/>
          <w:u w:val="single"/>
        </w:rPr>
      </w:pPr>
      <w:r>
        <w:rPr>
          <w:rFonts w:hint="eastAsia" w:ascii="宋体" w:hAnsi="宋体"/>
          <w:color w:val="000000"/>
          <w:sz w:val="24"/>
          <w:highlight w:val="none"/>
        </w:rPr>
        <w:t>2、总价合同支付分解表的编制与审批：</w:t>
      </w:r>
      <w:r>
        <w:rPr>
          <w:rFonts w:hint="eastAsia" w:ascii="宋体" w:hAnsi="宋体"/>
          <w:color w:val="000000"/>
          <w:sz w:val="24"/>
          <w:highlight w:val="none"/>
          <w:u w:val="single"/>
        </w:rPr>
        <w:t xml:space="preserve">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u w:val="single"/>
        </w:rPr>
      </w:pPr>
      <w:r>
        <w:rPr>
          <w:rFonts w:hint="eastAsia" w:ascii="宋体" w:hAnsi="宋体"/>
          <w:color w:val="000000"/>
          <w:sz w:val="24"/>
          <w:highlight w:val="none"/>
        </w:rPr>
        <w:t>3、单价合同的总价项目支付分解表的编制与审批：</w:t>
      </w:r>
      <w:r>
        <w:rPr>
          <w:rFonts w:hint="eastAsia" w:ascii="宋体" w:hAnsi="宋体"/>
          <w:color w:val="000000"/>
          <w:sz w:val="24"/>
          <w:highlight w:val="none"/>
          <w:u w:val="single"/>
        </w:rPr>
        <w:t xml:space="preserve">                         </w:t>
      </w:r>
      <w:r>
        <w:rPr>
          <w:rFonts w:hint="eastAsia" w:ascii="宋体" w:hAnsi="宋体"/>
          <w:color w:val="000000"/>
          <w:sz w:val="24"/>
          <w:highlight w:val="none"/>
        </w:rPr>
        <w:t>。</w:t>
      </w:r>
    </w:p>
    <w:p>
      <w:pPr>
        <w:pageBreakBefore w:val="0"/>
        <w:kinsoku/>
        <w:topLinePunct w:val="0"/>
        <w:bidi w:val="0"/>
        <w:spacing w:line="360" w:lineRule="auto"/>
        <w:ind w:firstLine="472" w:firstLineChars="196"/>
        <w:rPr>
          <w:rFonts w:hint="eastAsia" w:ascii="宋体" w:hAnsi="宋体"/>
          <w:b/>
          <w:color w:val="000000"/>
          <w:sz w:val="24"/>
          <w:highlight w:val="none"/>
        </w:rPr>
      </w:pPr>
      <w:r>
        <w:rPr>
          <w:rFonts w:hint="eastAsia" w:ascii="宋体" w:hAnsi="宋体"/>
          <w:b/>
          <w:color w:val="000000"/>
          <w:sz w:val="24"/>
          <w:highlight w:val="none"/>
        </w:rPr>
        <w:t>13. 验收和工程试车</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13.1 分部分项工程验收</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13.1.2监理人不能按时进行验收时，应提前</w:t>
      </w:r>
      <w:r>
        <w:rPr>
          <w:rFonts w:hint="eastAsia" w:ascii="宋体" w:hAnsi="宋体"/>
          <w:color w:val="000000"/>
          <w:sz w:val="24"/>
          <w:highlight w:val="none"/>
          <w:u w:val="single"/>
        </w:rPr>
        <w:t xml:space="preserve"> 24 </w:t>
      </w:r>
      <w:r>
        <w:rPr>
          <w:rFonts w:hint="eastAsia" w:ascii="宋体" w:hAnsi="宋体"/>
          <w:color w:val="000000"/>
          <w:sz w:val="24"/>
          <w:highlight w:val="none"/>
        </w:rPr>
        <w:t>小时提交书面延期要求。</w:t>
      </w:r>
    </w:p>
    <w:p>
      <w:pPr>
        <w:pageBreakBefore w:val="0"/>
        <w:kinsoku/>
        <w:topLinePunct w:val="0"/>
        <w:bidi w:val="0"/>
        <w:spacing w:line="360" w:lineRule="auto"/>
        <w:ind w:firstLine="480" w:firstLineChars="200"/>
        <w:rPr>
          <w:rFonts w:hint="eastAsia" w:ascii="宋体" w:hAnsi="宋体"/>
          <w:b/>
          <w:color w:val="000000"/>
          <w:sz w:val="24"/>
          <w:highlight w:val="none"/>
        </w:rPr>
      </w:pPr>
      <w:r>
        <w:rPr>
          <w:rFonts w:hint="eastAsia" w:ascii="宋体" w:hAnsi="宋体"/>
          <w:color w:val="000000"/>
          <w:sz w:val="24"/>
          <w:highlight w:val="none"/>
        </w:rPr>
        <w:t>关于延期最长不得超过：</w:t>
      </w:r>
      <w:r>
        <w:rPr>
          <w:rFonts w:hint="eastAsia" w:ascii="宋体" w:hAnsi="宋体"/>
          <w:color w:val="000000"/>
          <w:sz w:val="24"/>
          <w:highlight w:val="none"/>
          <w:u w:val="single"/>
        </w:rPr>
        <w:t xml:space="preserve">  48   </w:t>
      </w:r>
      <w:r>
        <w:rPr>
          <w:rFonts w:hint="eastAsia" w:ascii="宋体" w:hAnsi="宋体"/>
          <w:color w:val="000000"/>
          <w:sz w:val="24"/>
          <w:highlight w:val="none"/>
        </w:rPr>
        <w:t>小时。</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13.2 竣工验收</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13.2.2竣工验收程序</w:t>
      </w:r>
    </w:p>
    <w:p>
      <w:pPr>
        <w:pageBreakBefore w:val="0"/>
        <w:kinsoku/>
        <w:topLinePunct w:val="0"/>
        <w:bidi w:val="0"/>
        <w:spacing w:line="360" w:lineRule="auto"/>
        <w:ind w:left="4800" w:hanging="4800" w:hangingChars="2000"/>
        <w:rPr>
          <w:rFonts w:hint="eastAsia" w:ascii="宋体" w:hAnsi="宋体"/>
          <w:color w:val="000000"/>
          <w:sz w:val="24"/>
          <w:highlight w:val="none"/>
        </w:rPr>
      </w:pPr>
      <w:r>
        <w:rPr>
          <w:rFonts w:hint="eastAsia" w:ascii="宋体" w:hAnsi="宋体"/>
          <w:color w:val="000000"/>
          <w:kern w:val="0"/>
          <w:sz w:val="24"/>
          <w:highlight w:val="none"/>
        </w:rPr>
        <w:t>关于竣工验收程序的约定：</w:t>
      </w:r>
      <w:r>
        <w:rPr>
          <w:rFonts w:hint="eastAsia" w:ascii="宋体" w:hAnsi="宋体"/>
          <w:color w:val="000000"/>
          <w:sz w:val="24"/>
          <w:highlight w:val="none"/>
          <w:u w:val="single"/>
        </w:rPr>
        <w:t xml:space="preserve"> 按“通用条款”执行</w:t>
      </w:r>
      <w:r>
        <w:rPr>
          <w:rFonts w:hint="eastAsia" w:ascii="宋体" w:hAnsi="宋体"/>
          <w:b/>
          <w:color w:val="000000"/>
          <w:sz w:val="24"/>
          <w:highlight w:val="none"/>
          <w:u w:val="single"/>
        </w:rPr>
        <w:t xml:space="preserve"> </w:t>
      </w:r>
      <w:r>
        <w:rPr>
          <w:rFonts w:hint="eastAsia" w:ascii="宋体" w:hAnsi="宋体"/>
          <w:color w:val="000000"/>
          <w:sz w:val="24"/>
          <w:highlight w:val="none"/>
          <w:u w:val="single"/>
        </w:rPr>
        <w:t xml:space="preserve"> </w:t>
      </w:r>
      <w:r>
        <w:rPr>
          <w:rFonts w:hint="eastAsia" w:ascii="宋体" w:hAnsi="宋体"/>
          <w:color w:val="000000"/>
          <w:sz w:val="24"/>
          <w:highlight w:val="none"/>
        </w:rPr>
        <w:t>。</w:t>
      </w:r>
    </w:p>
    <w:p>
      <w:pPr>
        <w:pageBreakBefore w:val="0"/>
        <w:kinsoku/>
        <w:topLinePunct w:val="0"/>
        <w:bidi w:val="0"/>
        <w:spacing w:line="360" w:lineRule="auto"/>
        <w:rPr>
          <w:rFonts w:hint="eastAsia" w:ascii="宋体" w:hAnsi="宋体"/>
          <w:b/>
          <w:color w:val="000000"/>
          <w:sz w:val="24"/>
          <w:highlight w:val="none"/>
        </w:rPr>
      </w:pPr>
      <w:r>
        <w:rPr>
          <w:rFonts w:hint="eastAsia" w:ascii="宋体" w:hAnsi="宋体"/>
          <w:color w:val="000000"/>
          <w:kern w:val="0"/>
          <w:sz w:val="24"/>
          <w:highlight w:val="none"/>
        </w:rPr>
        <w:t>发包人不按照本项约定组织竣工验收、颁发工程接收证书的违约金的计算方法：</w:t>
      </w:r>
      <w:r>
        <w:rPr>
          <w:rFonts w:hint="eastAsia" w:ascii="宋体" w:hAnsi="宋体"/>
          <w:color w:val="000000"/>
          <w:sz w:val="24"/>
          <w:highlight w:val="none"/>
          <w:u w:val="single"/>
        </w:rPr>
        <w:t>按“通用条款”执行</w:t>
      </w:r>
      <w:r>
        <w:rPr>
          <w:rFonts w:hint="eastAsia" w:ascii="宋体" w:hAnsi="宋体"/>
          <w:b/>
          <w:color w:val="000000"/>
          <w:sz w:val="24"/>
          <w:highlight w:val="none"/>
          <w:u w:val="single"/>
        </w:rPr>
        <w:t xml:space="preserve">  </w:t>
      </w:r>
      <w:r>
        <w:rPr>
          <w:rFonts w:hint="eastAsia" w:ascii="宋体" w:hAnsi="宋体"/>
          <w:b/>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13.2.5移交、接收全部与部分工程</w:t>
      </w:r>
    </w:p>
    <w:p>
      <w:pPr>
        <w:pageBreakBefore w:val="0"/>
        <w:kinsoku/>
        <w:topLinePunct w:val="0"/>
        <w:bidi w:val="0"/>
        <w:spacing w:line="360" w:lineRule="auto"/>
        <w:ind w:firstLine="480" w:firstLineChars="200"/>
        <w:rPr>
          <w:rFonts w:hint="eastAsia" w:ascii="宋体" w:hAnsi="宋体"/>
          <w:color w:val="000000"/>
          <w:kern w:val="0"/>
          <w:sz w:val="24"/>
          <w:highlight w:val="none"/>
        </w:rPr>
      </w:pPr>
      <w:r>
        <w:rPr>
          <w:rFonts w:hint="eastAsia" w:ascii="宋体" w:hAnsi="宋体"/>
          <w:color w:val="000000"/>
          <w:kern w:val="0"/>
          <w:sz w:val="24"/>
          <w:highlight w:val="none"/>
        </w:rPr>
        <w:t>承包人向发包人移交工程的期限：</w:t>
      </w:r>
      <w:r>
        <w:rPr>
          <w:rFonts w:hint="eastAsia" w:ascii="宋体" w:hAnsi="宋体"/>
          <w:color w:val="000000"/>
          <w:sz w:val="24"/>
          <w:highlight w:val="none"/>
          <w:u w:val="single"/>
        </w:rPr>
        <w:t xml:space="preserve">  按“通用条款”执行</w:t>
      </w:r>
      <w:r>
        <w:rPr>
          <w:rFonts w:hint="eastAsia" w:ascii="宋体" w:hAnsi="宋体"/>
          <w:b/>
          <w:color w:val="000000"/>
          <w:sz w:val="24"/>
          <w:highlight w:val="none"/>
          <w:u w:val="single"/>
        </w:rPr>
        <w:t xml:space="preserve">  </w:t>
      </w:r>
      <w:r>
        <w:rPr>
          <w:rFonts w:hint="eastAsia" w:ascii="宋体" w:hAnsi="宋体"/>
          <w:color w:val="000000"/>
          <w:sz w:val="24"/>
          <w:highlight w:val="none"/>
          <w:u w:val="single"/>
        </w:rPr>
        <w:t xml:space="preserve">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u w:val="single"/>
        </w:rPr>
      </w:pPr>
      <w:r>
        <w:rPr>
          <w:rFonts w:hint="eastAsia" w:ascii="宋体" w:hAnsi="宋体"/>
          <w:color w:val="000000"/>
          <w:kern w:val="0"/>
          <w:sz w:val="24"/>
          <w:highlight w:val="none"/>
        </w:rPr>
        <w:t>发包人未按本合同约定接收全部或部分工程的，违约金的计算方法为：</w:t>
      </w:r>
      <w:r>
        <w:rPr>
          <w:rFonts w:hint="eastAsia" w:ascii="宋体" w:hAnsi="宋体"/>
          <w:color w:val="000000"/>
          <w:sz w:val="24"/>
          <w:highlight w:val="none"/>
          <w:u w:val="single"/>
        </w:rPr>
        <w:t xml:space="preserve">  按签约合同价的1%计付  </w:t>
      </w:r>
      <w:r>
        <w:rPr>
          <w:rFonts w:hint="eastAsia" w:ascii="宋体" w:hAnsi="宋体"/>
          <w:color w:val="000000"/>
          <w:sz w:val="24"/>
          <w:highlight w:val="none"/>
        </w:rPr>
        <w:t>。</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承包人未按时移交工程的，违约金的计算方法为：</w:t>
      </w:r>
      <w:r>
        <w:rPr>
          <w:rFonts w:hint="eastAsia" w:ascii="宋体" w:hAnsi="宋体"/>
          <w:color w:val="000000"/>
          <w:sz w:val="24"/>
          <w:highlight w:val="none"/>
          <w:u w:val="single"/>
        </w:rPr>
        <w:t xml:space="preserve">  /  </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13.3 工程试车</w:t>
      </w:r>
    </w:p>
    <w:p>
      <w:pPr>
        <w:pageBreakBefore w:val="0"/>
        <w:kinsoku/>
        <w:topLinePunct w:val="0"/>
        <w:bidi w:val="0"/>
        <w:spacing w:line="360" w:lineRule="auto"/>
        <w:ind w:firstLine="482" w:firstLineChars="200"/>
        <w:rPr>
          <w:rFonts w:hint="eastAsia" w:ascii="宋体" w:hAnsi="宋体"/>
          <w:b/>
          <w:color w:val="000000"/>
          <w:kern w:val="0"/>
          <w:sz w:val="24"/>
          <w:highlight w:val="none"/>
        </w:rPr>
      </w:pPr>
      <w:r>
        <w:rPr>
          <w:rFonts w:hint="eastAsia" w:ascii="宋体" w:hAnsi="宋体"/>
          <w:b/>
          <w:color w:val="000000"/>
          <w:kern w:val="0"/>
          <w:sz w:val="24"/>
          <w:highlight w:val="none"/>
        </w:rPr>
        <w:t>13.3.1 试车程序</w:t>
      </w:r>
    </w:p>
    <w:p>
      <w:pPr>
        <w:pageBreakBefore w:val="0"/>
        <w:kinsoku/>
        <w:topLinePunct w:val="0"/>
        <w:bidi w:val="0"/>
        <w:spacing w:line="360" w:lineRule="auto"/>
        <w:rPr>
          <w:rFonts w:hint="eastAsia" w:ascii="宋体" w:hAnsi="宋体"/>
          <w:color w:val="000000"/>
          <w:kern w:val="0"/>
          <w:sz w:val="24"/>
          <w:highlight w:val="none"/>
        </w:rPr>
      </w:pPr>
      <w:r>
        <w:rPr>
          <w:rFonts w:hint="eastAsia" w:ascii="宋体" w:hAnsi="宋体"/>
          <w:color w:val="000000"/>
          <w:kern w:val="0"/>
          <w:sz w:val="24"/>
          <w:highlight w:val="none"/>
        </w:rPr>
        <w:t>工程试车内容：</w:t>
      </w:r>
      <w:r>
        <w:rPr>
          <w:rFonts w:hint="eastAsia" w:ascii="宋体" w:hAnsi="宋体"/>
          <w:color w:val="000000"/>
          <w:sz w:val="24"/>
          <w:highlight w:val="none"/>
          <w:u w:val="single"/>
        </w:rPr>
        <w:t xml:space="preserve"> /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kern w:val="0"/>
          <w:sz w:val="24"/>
          <w:highlight w:val="none"/>
        </w:rPr>
      </w:pPr>
      <w:r>
        <w:rPr>
          <w:rFonts w:hint="eastAsia" w:ascii="宋体" w:hAnsi="宋体"/>
          <w:color w:val="000000"/>
          <w:kern w:val="0"/>
          <w:sz w:val="24"/>
          <w:highlight w:val="none"/>
        </w:rPr>
        <w:t>（1）单机无负荷试车费用由</w:t>
      </w:r>
      <w:r>
        <w:rPr>
          <w:rFonts w:hint="eastAsia" w:ascii="宋体" w:hAnsi="宋体"/>
          <w:color w:val="000000"/>
          <w:sz w:val="24"/>
          <w:highlight w:val="none"/>
          <w:u w:val="single"/>
        </w:rPr>
        <w:t xml:space="preserve">  /  </w:t>
      </w:r>
      <w:r>
        <w:rPr>
          <w:rFonts w:hint="eastAsia" w:ascii="宋体" w:hAnsi="宋体"/>
          <w:color w:val="000000"/>
          <w:kern w:val="0"/>
          <w:sz w:val="24"/>
          <w:highlight w:val="none"/>
        </w:rPr>
        <w:t>承担；</w:t>
      </w:r>
    </w:p>
    <w:p>
      <w:pPr>
        <w:pageBreakBefore w:val="0"/>
        <w:kinsoku/>
        <w:topLinePunct w:val="0"/>
        <w:bidi w:val="0"/>
        <w:spacing w:line="360" w:lineRule="auto"/>
        <w:ind w:firstLine="480" w:firstLineChars="200"/>
        <w:rPr>
          <w:rFonts w:hint="eastAsia" w:ascii="宋体" w:hAnsi="宋体"/>
          <w:color w:val="000000"/>
          <w:kern w:val="0"/>
          <w:sz w:val="24"/>
          <w:highlight w:val="none"/>
        </w:rPr>
      </w:pPr>
      <w:r>
        <w:rPr>
          <w:rFonts w:hint="eastAsia" w:ascii="宋体" w:hAnsi="宋体"/>
          <w:color w:val="000000"/>
          <w:kern w:val="0"/>
          <w:sz w:val="24"/>
          <w:highlight w:val="none"/>
        </w:rPr>
        <w:t>（2）无负荷联动试车费用由</w:t>
      </w:r>
      <w:r>
        <w:rPr>
          <w:rFonts w:hint="eastAsia" w:ascii="宋体" w:hAnsi="宋体"/>
          <w:color w:val="000000"/>
          <w:sz w:val="24"/>
          <w:highlight w:val="none"/>
          <w:u w:val="single"/>
        </w:rPr>
        <w:t xml:space="preserve">  /  </w:t>
      </w:r>
      <w:r>
        <w:rPr>
          <w:rFonts w:hint="eastAsia" w:ascii="宋体" w:hAnsi="宋体"/>
          <w:color w:val="000000"/>
          <w:kern w:val="0"/>
          <w:sz w:val="24"/>
          <w:highlight w:val="none"/>
        </w:rPr>
        <w:t>承担。</w:t>
      </w:r>
    </w:p>
    <w:p>
      <w:pPr>
        <w:pageBreakBefore w:val="0"/>
        <w:kinsoku/>
        <w:topLinePunct w:val="0"/>
        <w:bidi w:val="0"/>
        <w:spacing w:line="360" w:lineRule="auto"/>
        <w:ind w:firstLine="482" w:firstLineChars="200"/>
        <w:rPr>
          <w:rFonts w:hint="eastAsia" w:ascii="宋体" w:hAnsi="宋体"/>
          <w:b/>
          <w:color w:val="000000"/>
          <w:kern w:val="0"/>
          <w:sz w:val="24"/>
          <w:highlight w:val="none"/>
        </w:rPr>
      </w:pPr>
      <w:r>
        <w:rPr>
          <w:rFonts w:hint="eastAsia" w:ascii="宋体" w:hAnsi="宋体"/>
          <w:b/>
          <w:color w:val="000000"/>
          <w:kern w:val="0"/>
          <w:sz w:val="24"/>
          <w:highlight w:val="none"/>
        </w:rPr>
        <w:t>13.3.3 投料试车</w:t>
      </w:r>
    </w:p>
    <w:p>
      <w:pPr>
        <w:pageBreakBefore w:val="0"/>
        <w:kinsoku/>
        <w:topLinePunct w:val="0"/>
        <w:bidi w:val="0"/>
        <w:spacing w:line="360" w:lineRule="auto"/>
        <w:rPr>
          <w:rFonts w:hint="eastAsia" w:ascii="宋体" w:hAnsi="宋体"/>
          <w:color w:val="000000"/>
          <w:kern w:val="0"/>
          <w:sz w:val="24"/>
          <w:highlight w:val="none"/>
        </w:rPr>
      </w:pPr>
      <w:r>
        <w:rPr>
          <w:rFonts w:hint="eastAsia" w:ascii="宋体" w:hAnsi="宋体"/>
          <w:color w:val="000000"/>
          <w:kern w:val="0"/>
          <w:sz w:val="24"/>
          <w:highlight w:val="none"/>
        </w:rPr>
        <w:t>关于投料试车相关事项的约定：</w:t>
      </w:r>
      <w:r>
        <w:rPr>
          <w:rFonts w:hint="eastAsia" w:ascii="宋体" w:hAnsi="宋体"/>
          <w:color w:val="000000"/>
          <w:sz w:val="24"/>
          <w:highlight w:val="none"/>
          <w:u w:val="single"/>
        </w:rPr>
        <w:t xml:space="preserve">  /  </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13.6 竣工退场</w:t>
      </w:r>
    </w:p>
    <w:p>
      <w:pPr>
        <w:pageBreakBefore w:val="0"/>
        <w:kinsoku/>
        <w:topLinePunct w:val="0"/>
        <w:bidi w:val="0"/>
        <w:spacing w:line="360" w:lineRule="auto"/>
        <w:ind w:firstLine="482" w:firstLineChars="200"/>
        <w:rPr>
          <w:rFonts w:hint="eastAsia" w:ascii="宋体" w:hAnsi="宋体"/>
          <w:b/>
          <w:color w:val="000000"/>
          <w:kern w:val="0"/>
          <w:sz w:val="24"/>
          <w:highlight w:val="none"/>
        </w:rPr>
      </w:pPr>
      <w:r>
        <w:rPr>
          <w:rFonts w:hint="eastAsia" w:ascii="宋体" w:hAnsi="宋体"/>
          <w:b/>
          <w:color w:val="000000"/>
          <w:kern w:val="0"/>
          <w:sz w:val="24"/>
          <w:highlight w:val="none"/>
        </w:rPr>
        <w:t>13.6.1 竣工退场</w:t>
      </w:r>
    </w:p>
    <w:p>
      <w:pPr>
        <w:pageBreakBefore w:val="0"/>
        <w:kinsoku/>
        <w:topLinePunct w:val="0"/>
        <w:bidi w:val="0"/>
        <w:spacing w:line="360" w:lineRule="auto"/>
        <w:ind w:firstLine="480" w:firstLineChars="200"/>
        <w:rPr>
          <w:rFonts w:hint="eastAsia" w:ascii="宋体" w:hAnsi="宋体"/>
          <w:color w:val="000000"/>
          <w:kern w:val="0"/>
          <w:sz w:val="24"/>
          <w:highlight w:val="none"/>
        </w:rPr>
      </w:pPr>
      <w:r>
        <w:rPr>
          <w:rFonts w:hint="eastAsia" w:ascii="宋体" w:hAnsi="宋体"/>
          <w:color w:val="000000"/>
          <w:kern w:val="0"/>
          <w:sz w:val="24"/>
          <w:highlight w:val="none"/>
        </w:rPr>
        <w:t>承包人完成竣工退场的期限：</w:t>
      </w:r>
      <w:r>
        <w:rPr>
          <w:rFonts w:hint="eastAsia" w:ascii="宋体" w:hAnsi="宋体"/>
          <w:color w:val="000000"/>
          <w:sz w:val="24"/>
          <w:highlight w:val="none"/>
          <w:u w:val="single"/>
        </w:rPr>
        <w:t xml:space="preserve"> 发包人颁发工程接收证书后30天内  </w:t>
      </w:r>
      <w:r>
        <w:rPr>
          <w:rFonts w:hint="eastAsia" w:ascii="宋体" w:hAnsi="宋体"/>
          <w:color w:val="000000"/>
          <w:kern w:val="0"/>
          <w:sz w:val="24"/>
          <w:highlight w:val="none"/>
        </w:rPr>
        <w:t>。</w:t>
      </w:r>
    </w:p>
    <w:p>
      <w:pPr>
        <w:pageBreakBefore w:val="0"/>
        <w:kinsoku/>
        <w:topLinePunct w:val="0"/>
        <w:bidi w:val="0"/>
        <w:spacing w:line="360" w:lineRule="auto"/>
        <w:ind w:firstLine="482" w:firstLineChars="200"/>
        <w:rPr>
          <w:rFonts w:hint="eastAsia" w:ascii="宋体" w:hAnsi="宋体"/>
          <w:b/>
          <w:color w:val="000000"/>
          <w:kern w:val="0"/>
          <w:sz w:val="24"/>
          <w:highlight w:val="none"/>
        </w:rPr>
      </w:pPr>
      <w:r>
        <w:rPr>
          <w:rFonts w:hint="eastAsia" w:ascii="宋体" w:hAnsi="宋体"/>
          <w:b/>
          <w:color w:val="000000"/>
          <w:sz w:val="24"/>
          <w:highlight w:val="none"/>
        </w:rPr>
        <w:t>14. 竣工结算</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14.1 竣工结算申请</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承包人提交竣工结算申请单的期限：</w:t>
      </w:r>
      <w:r>
        <w:rPr>
          <w:rFonts w:hint="eastAsia" w:ascii="宋体" w:hAnsi="宋体"/>
          <w:color w:val="000000"/>
          <w:sz w:val="24"/>
          <w:highlight w:val="none"/>
          <w:u w:val="single"/>
        </w:rPr>
        <w:t xml:space="preserve"> 工程竣工验收合格后20天内 </w:t>
      </w:r>
      <w:r>
        <w:rPr>
          <w:rFonts w:hint="eastAsia" w:ascii="宋体" w:hAnsi="宋体"/>
          <w:color w:val="000000"/>
          <w:sz w:val="24"/>
          <w:highlight w:val="none"/>
        </w:rPr>
        <w:t>。</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竣工结算申请单应包括的内容：</w:t>
      </w:r>
      <w:r>
        <w:rPr>
          <w:rFonts w:hint="eastAsia" w:ascii="宋体" w:hAnsi="宋体"/>
          <w:color w:val="000000"/>
          <w:sz w:val="24"/>
          <w:highlight w:val="none"/>
          <w:u w:val="single"/>
        </w:rPr>
        <w:t xml:space="preserve">  按“通用条款”执行 </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14.2 竣工结算审核</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发包人审批竣工付款申请单的期限：</w:t>
      </w:r>
      <w:r>
        <w:rPr>
          <w:rFonts w:hint="eastAsia" w:ascii="宋体" w:hAnsi="宋体"/>
          <w:color w:val="000000"/>
          <w:sz w:val="24"/>
          <w:highlight w:val="none"/>
          <w:u w:val="single"/>
        </w:rPr>
        <w:t xml:space="preserve"> 收到申请单后60天内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发包人完成竣工付款的期限：</w:t>
      </w:r>
      <w:r>
        <w:rPr>
          <w:rFonts w:hint="eastAsia" w:ascii="宋体" w:hAnsi="宋体"/>
          <w:color w:val="000000"/>
          <w:sz w:val="24"/>
          <w:highlight w:val="none"/>
          <w:u w:val="single"/>
        </w:rPr>
        <w:t xml:space="preserve">收到申请单后60天内  </w:t>
      </w:r>
      <w:r>
        <w:rPr>
          <w:rFonts w:hint="eastAsia" w:ascii="宋体" w:hAnsi="宋体"/>
          <w:color w:val="000000"/>
          <w:sz w:val="24"/>
          <w:highlight w:val="none"/>
        </w:rPr>
        <w:t>。</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关于竣工付款证书异议部分复核的方式和程序：</w:t>
      </w:r>
      <w:r>
        <w:rPr>
          <w:rFonts w:hint="eastAsia" w:ascii="宋体" w:hAnsi="宋体"/>
          <w:color w:val="000000"/>
          <w:sz w:val="24"/>
          <w:highlight w:val="none"/>
          <w:u w:val="single"/>
        </w:rPr>
        <w:t xml:space="preserve">  由双方派员当面核对 </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14.4 最终结清</w:t>
      </w:r>
    </w:p>
    <w:p>
      <w:pPr>
        <w:pageBreakBefore w:val="0"/>
        <w:kinsoku/>
        <w:topLinePunct w:val="0"/>
        <w:bidi w:val="0"/>
        <w:spacing w:line="360" w:lineRule="auto"/>
        <w:ind w:firstLine="482" w:firstLineChars="200"/>
        <w:rPr>
          <w:rFonts w:hint="eastAsia" w:ascii="宋体" w:hAnsi="宋体"/>
          <w:b/>
          <w:color w:val="000000"/>
          <w:kern w:val="0"/>
          <w:sz w:val="24"/>
          <w:highlight w:val="none"/>
        </w:rPr>
      </w:pPr>
      <w:r>
        <w:rPr>
          <w:rFonts w:hint="eastAsia" w:ascii="宋体" w:hAnsi="宋体"/>
          <w:b/>
          <w:color w:val="000000"/>
          <w:kern w:val="0"/>
          <w:sz w:val="24"/>
          <w:highlight w:val="none"/>
        </w:rPr>
        <w:t>14.4.1 最终结清申请单</w:t>
      </w:r>
    </w:p>
    <w:p>
      <w:pPr>
        <w:pageBreakBefore w:val="0"/>
        <w:kinsoku/>
        <w:topLinePunct w:val="0"/>
        <w:bidi w:val="0"/>
        <w:spacing w:line="360" w:lineRule="auto"/>
        <w:ind w:firstLine="480" w:firstLineChars="200"/>
        <w:rPr>
          <w:rFonts w:hint="eastAsia" w:ascii="宋体" w:hAnsi="宋体"/>
          <w:color w:val="000000"/>
          <w:kern w:val="0"/>
          <w:sz w:val="24"/>
          <w:highlight w:val="none"/>
        </w:rPr>
      </w:pPr>
      <w:r>
        <w:rPr>
          <w:rFonts w:hint="eastAsia" w:ascii="宋体" w:hAnsi="宋体"/>
          <w:color w:val="000000"/>
          <w:kern w:val="0"/>
          <w:sz w:val="24"/>
          <w:highlight w:val="none"/>
        </w:rPr>
        <w:t>承包人提交最终结清申请单的份数：</w:t>
      </w:r>
      <w:r>
        <w:rPr>
          <w:rFonts w:hint="eastAsia" w:ascii="宋体" w:hAnsi="宋体"/>
          <w:color w:val="000000"/>
          <w:sz w:val="24"/>
          <w:highlight w:val="none"/>
          <w:u w:val="single"/>
        </w:rPr>
        <w:t xml:space="preserve">  六份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kern w:val="0"/>
          <w:sz w:val="24"/>
          <w:highlight w:val="none"/>
        </w:rPr>
        <w:t>承包人提交最终结算申请单的期限：</w:t>
      </w:r>
      <w:r>
        <w:rPr>
          <w:rFonts w:hint="eastAsia" w:ascii="宋体" w:hAnsi="宋体"/>
          <w:color w:val="000000"/>
          <w:sz w:val="24"/>
          <w:highlight w:val="none"/>
          <w:u w:val="single"/>
        </w:rPr>
        <w:t xml:space="preserve">  发包人颁发工程接收证书后60天内  </w:t>
      </w:r>
      <w:r>
        <w:rPr>
          <w:rFonts w:hint="eastAsia" w:ascii="宋体" w:hAnsi="宋体"/>
          <w:color w:val="000000"/>
          <w:sz w:val="24"/>
          <w:highlight w:val="none"/>
        </w:rPr>
        <w:t xml:space="preserve">。 </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14.4.2 最终结清证书和支付</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（1）发包人完成最终结清申请单的审批并颁发最终结清证书的期限：</w:t>
      </w:r>
      <w:r>
        <w:rPr>
          <w:rFonts w:hint="eastAsia" w:ascii="宋体" w:hAnsi="宋体"/>
          <w:color w:val="000000"/>
          <w:sz w:val="24"/>
          <w:highlight w:val="none"/>
          <w:u w:val="single"/>
        </w:rPr>
        <w:t xml:space="preserve"> </w:t>
      </w:r>
      <w:bookmarkStart w:id="171" w:name="OLE_LINK3"/>
      <w:r>
        <w:rPr>
          <w:rFonts w:hint="eastAsia" w:ascii="宋体" w:hAnsi="宋体"/>
          <w:color w:val="000000"/>
          <w:sz w:val="24"/>
          <w:highlight w:val="none"/>
          <w:u w:val="single"/>
        </w:rPr>
        <w:t>收到后60天内</w:t>
      </w:r>
      <w:bookmarkEnd w:id="171"/>
      <w:r>
        <w:rPr>
          <w:rFonts w:hint="eastAsia" w:ascii="宋体" w:hAnsi="宋体"/>
          <w:color w:val="000000"/>
          <w:sz w:val="24"/>
          <w:highlight w:val="none"/>
          <w:u w:val="single"/>
        </w:rPr>
        <w:t xml:space="preserve">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（2）发包人完成支付的期限：</w:t>
      </w:r>
      <w:r>
        <w:rPr>
          <w:rFonts w:hint="eastAsia" w:ascii="宋体" w:hAnsi="宋体"/>
          <w:color w:val="000000"/>
          <w:sz w:val="24"/>
          <w:highlight w:val="none"/>
          <w:u w:val="single"/>
        </w:rPr>
        <w:t xml:space="preserve">  收到后60天内 </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15. 缺陷责任期与保修</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15.2缺陷责任期</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sz w:val="24"/>
          <w:highlight w:val="none"/>
        </w:rPr>
        <w:t>缺陷责任期的具体期限：</w:t>
      </w:r>
      <w:r>
        <w:rPr>
          <w:rFonts w:hint="eastAsia" w:ascii="宋体" w:hAnsi="宋体"/>
          <w:color w:val="000000"/>
          <w:sz w:val="24"/>
          <w:highlight w:val="none"/>
          <w:u w:val="single"/>
        </w:rPr>
        <w:t xml:space="preserve">  按“通用条款”执行 </w:t>
      </w:r>
      <w:r>
        <w:rPr>
          <w:rFonts w:hint="eastAsia" w:ascii="宋体" w:hAnsi="宋体"/>
          <w:color w:val="000000"/>
          <w:sz w:val="24"/>
          <w:highlight w:val="none"/>
        </w:rPr>
        <w:t xml:space="preserve">。 </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15.3 质量保证金</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关于是否扣留质量保证金的约定：</w:t>
      </w:r>
      <w:r>
        <w:rPr>
          <w:rFonts w:hint="eastAsia" w:ascii="宋体" w:hAnsi="宋体"/>
          <w:color w:val="000000"/>
          <w:sz w:val="24"/>
          <w:highlight w:val="none"/>
          <w:u w:val="single"/>
        </w:rPr>
        <w:t xml:space="preserve">  </w:t>
      </w:r>
      <w:r>
        <w:rPr>
          <w:rFonts w:hint="eastAsia" w:ascii="宋体" w:hAnsi="宋体"/>
          <w:b/>
          <w:color w:val="000000"/>
          <w:sz w:val="24"/>
          <w:highlight w:val="none"/>
          <w:u w:val="single"/>
        </w:rPr>
        <w:t>扣留</w:t>
      </w:r>
      <w:r>
        <w:rPr>
          <w:rFonts w:hint="eastAsia" w:ascii="宋体" w:hAnsi="宋体"/>
          <w:color w:val="000000"/>
          <w:sz w:val="24"/>
          <w:highlight w:val="none"/>
          <w:u w:val="single"/>
        </w:rPr>
        <w:t xml:space="preserve">   </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15.3.1 承包人提供质量保证金的方式</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质量保证金采用以下第</w:t>
      </w:r>
      <w:r>
        <w:rPr>
          <w:rFonts w:hint="eastAsia" w:ascii="宋体" w:hAnsi="宋体"/>
          <w:color w:val="000000"/>
          <w:sz w:val="24"/>
          <w:highlight w:val="none"/>
          <w:u w:val="single"/>
        </w:rPr>
        <w:t xml:space="preserve"> </w:t>
      </w:r>
      <w:r>
        <w:rPr>
          <w:rFonts w:hint="eastAsia" w:ascii="宋体" w:hAnsi="宋体"/>
          <w:b/>
          <w:color w:val="000000"/>
          <w:sz w:val="24"/>
          <w:highlight w:val="none"/>
          <w:u w:val="single"/>
        </w:rPr>
        <w:t>2</w:t>
      </w:r>
      <w:r>
        <w:rPr>
          <w:rFonts w:hint="eastAsia" w:ascii="宋体" w:hAnsi="宋体"/>
          <w:color w:val="000000"/>
          <w:sz w:val="24"/>
          <w:highlight w:val="none"/>
          <w:u w:val="single"/>
        </w:rPr>
        <w:t xml:space="preserve">  </w:t>
      </w:r>
      <w:r>
        <w:rPr>
          <w:rFonts w:hint="eastAsia" w:ascii="宋体" w:hAnsi="宋体"/>
          <w:color w:val="000000"/>
          <w:sz w:val="24"/>
          <w:highlight w:val="none"/>
        </w:rPr>
        <w:t>种方式：</w:t>
      </w:r>
    </w:p>
    <w:p>
      <w:pPr>
        <w:pageBreakBefore w:val="0"/>
        <w:kinsoku/>
        <w:topLinePunct w:val="0"/>
        <w:autoSpaceDE w:val="0"/>
        <w:autoSpaceDN w:val="0"/>
        <w:bidi w:val="0"/>
        <w:adjustRightInd w:val="0"/>
        <w:spacing w:line="360" w:lineRule="auto"/>
        <w:ind w:firstLine="480" w:firstLineChars="200"/>
        <w:rPr>
          <w:rFonts w:hint="eastAsia" w:ascii="宋体" w:hAnsi="宋体"/>
          <w:color w:val="000000"/>
          <w:kern w:val="0"/>
          <w:sz w:val="24"/>
          <w:highlight w:val="none"/>
        </w:rPr>
      </w:pPr>
      <w:r>
        <w:rPr>
          <w:rFonts w:hint="eastAsia" w:ascii="宋体" w:hAnsi="宋体"/>
          <w:color w:val="000000"/>
          <w:kern w:val="0"/>
          <w:sz w:val="24"/>
          <w:highlight w:val="none"/>
        </w:rPr>
        <w:t>（1）质量保证金保函，保证金额为：</w:t>
      </w:r>
      <w:r>
        <w:rPr>
          <w:rFonts w:hint="eastAsia" w:ascii="宋体" w:hAnsi="宋体"/>
          <w:color w:val="000000"/>
          <w:kern w:val="0"/>
          <w:sz w:val="24"/>
          <w:highlight w:val="none"/>
          <w:u w:val="single"/>
        </w:rPr>
        <w:t xml:space="preserve">          /         </w:t>
      </w:r>
      <w:r>
        <w:rPr>
          <w:rFonts w:hint="eastAsia" w:ascii="宋体" w:hAnsi="宋体"/>
          <w:color w:val="000000"/>
          <w:kern w:val="0"/>
          <w:sz w:val="24"/>
          <w:highlight w:val="none"/>
        </w:rPr>
        <w:t xml:space="preserve">； </w:t>
      </w:r>
    </w:p>
    <w:p>
      <w:pPr>
        <w:pageBreakBefore w:val="0"/>
        <w:kinsoku/>
        <w:topLinePunct w:val="0"/>
        <w:autoSpaceDE w:val="0"/>
        <w:autoSpaceDN w:val="0"/>
        <w:bidi w:val="0"/>
        <w:adjustRightInd w:val="0"/>
        <w:spacing w:line="360" w:lineRule="auto"/>
        <w:ind w:firstLine="480" w:firstLineChars="200"/>
        <w:rPr>
          <w:rFonts w:hint="eastAsia" w:ascii="宋体" w:hAnsi="宋体"/>
          <w:color w:val="000000"/>
          <w:kern w:val="0"/>
          <w:sz w:val="24"/>
          <w:highlight w:val="none"/>
        </w:rPr>
      </w:pPr>
      <w:r>
        <w:rPr>
          <w:rFonts w:hint="eastAsia" w:ascii="宋体" w:hAnsi="宋体"/>
          <w:color w:val="000000"/>
          <w:kern w:val="0"/>
          <w:sz w:val="24"/>
          <w:highlight w:val="none"/>
        </w:rPr>
        <w:t>（2）</w:t>
      </w:r>
      <w:r>
        <w:rPr>
          <w:rFonts w:hint="eastAsia" w:ascii="宋体" w:hAnsi="宋体"/>
          <w:color w:val="000000"/>
          <w:kern w:val="0"/>
          <w:sz w:val="24"/>
          <w:highlight w:val="none"/>
          <w:u w:val="single"/>
        </w:rPr>
        <w:t xml:space="preserve"> 5 </w:t>
      </w:r>
      <w:r>
        <w:rPr>
          <w:rFonts w:hint="eastAsia" w:ascii="宋体" w:hAnsi="宋体"/>
          <w:color w:val="000000"/>
          <w:kern w:val="0"/>
          <w:sz w:val="24"/>
          <w:highlight w:val="none"/>
        </w:rPr>
        <w:t>%的工程款；</w:t>
      </w:r>
    </w:p>
    <w:p>
      <w:pPr>
        <w:pageBreakBefore w:val="0"/>
        <w:kinsoku/>
        <w:topLinePunct w:val="0"/>
        <w:autoSpaceDE w:val="0"/>
        <w:autoSpaceDN w:val="0"/>
        <w:bidi w:val="0"/>
        <w:adjustRightInd w:val="0"/>
        <w:spacing w:line="360" w:lineRule="auto"/>
        <w:ind w:firstLine="480" w:firstLineChars="200"/>
        <w:rPr>
          <w:rFonts w:hint="eastAsia" w:ascii="宋体" w:hAnsi="宋体"/>
          <w:color w:val="000000"/>
          <w:kern w:val="0"/>
          <w:sz w:val="24"/>
          <w:highlight w:val="none"/>
        </w:rPr>
      </w:pPr>
      <w:r>
        <w:rPr>
          <w:rFonts w:hint="eastAsia" w:ascii="宋体" w:hAnsi="宋体"/>
          <w:color w:val="000000"/>
          <w:kern w:val="0"/>
          <w:sz w:val="24"/>
          <w:highlight w:val="none"/>
        </w:rPr>
        <w:t>（3）其他方式:</w:t>
      </w:r>
      <w:r>
        <w:rPr>
          <w:rFonts w:hint="eastAsia" w:ascii="宋体" w:hAnsi="宋体"/>
          <w:color w:val="000000"/>
          <w:kern w:val="0"/>
          <w:sz w:val="24"/>
          <w:highlight w:val="none"/>
          <w:u w:val="single"/>
        </w:rPr>
        <w:t xml:space="preserve">                /                  </w:t>
      </w:r>
      <w:r>
        <w:rPr>
          <w:rFonts w:hint="eastAsia" w:ascii="宋体" w:hAnsi="宋体"/>
          <w:color w:val="000000"/>
          <w:kern w:val="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 xml:space="preserve">15.3.2 质量保证金的扣留 </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质量保证金的扣留采取以下第</w:t>
      </w:r>
      <w:r>
        <w:rPr>
          <w:rFonts w:hint="eastAsia" w:ascii="宋体" w:hAnsi="宋体"/>
          <w:color w:val="000000"/>
          <w:sz w:val="24"/>
          <w:highlight w:val="none"/>
          <w:u w:val="single"/>
        </w:rPr>
        <w:t xml:space="preserve"> </w:t>
      </w:r>
      <w:r>
        <w:rPr>
          <w:rFonts w:hint="eastAsia" w:ascii="宋体" w:hAnsi="宋体"/>
          <w:b/>
          <w:color w:val="000000"/>
          <w:sz w:val="24"/>
          <w:highlight w:val="none"/>
          <w:u w:val="single"/>
        </w:rPr>
        <w:t xml:space="preserve">2 </w:t>
      </w:r>
      <w:r>
        <w:rPr>
          <w:rFonts w:hint="eastAsia" w:ascii="宋体" w:hAnsi="宋体"/>
          <w:color w:val="000000"/>
          <w:sz w:val="24"/>
          <w:highlight w:val="none"/>
        </w:rPr>
        <w:t>种方式：</w:t>
      </w:r>
    </w:p>
    <w:p>
      <w:pPr>
        <w:pageBreakBefore w:val="0"/>
        <w:kinsoku/>
        <w:topLinePunct w:val="0"/>
        <w:autoSpaceDE w:val="0"/>
        <w:autoSpaceDN w:val="0"/>
        <w:bidi w:val="0"/>
        <w:adjustRightInd w:val="0"/>
        <w:spacing w:line="360" w:lineRule="auto"/>
        <w:ind w:firstLine="480" w:firstLineChars="200"/>
        <w:rPr>
          <w:rFonts w:hint="eastAsia" w:ascii="宋体" w:hAnsi="宋体"/>
          <w:color w:val="000000"/>
          <w:kern w:val="0"/>
          <w:sz w:val="24"/>
          <w:highlight w:val="none"/>
        </w:rPr>
      </w:pPr>
      <w:r>
        <w:rPr>
          <w:rFonts w:hint="eastAsia" w:ascii="宋体" w:hAnsi="宋体"/>
          <w:color w:val="000000"/>
          <w:kern w:val="0"/>
          <w:sz w:val="24"/>
          <w:highlight w:val="none"/>
        </w:rPr>
        <w:t>（1）在支付工程进度款时逐次扣留，在此情形下，质量保证金的计算基数不包括预付款的支付、扣回以及价格调整的金额；</w:t>
      </w:r>
    </w:p>
    <w:p>
      <w:pPr>
        <w:pageBreakBefore w:val="0"/>
        <w:kinsoku/>
        <w:topLinePunct w:val="0"/>
        <w:autoSpaceDE w:val="0"/>
        <w:autoSpaceDN w:val="0"/>
        <w:bidi w:val="0"/>
        <w:adjustRightInd w:val="0"/>
        <w:spacing w:line="360" w:lineRule="auto"/>
        <w:ind w:firstLine="480" w:firstLineChars="200"/>
        <w:rPr>
          <w:rFonts w:hint="eastAsia" w:ascii="宋体" w:hAnsi="宋体"/>
          <w:color w:val="000000"/>
          <w:kern w:val="0"/>
          <w:sz w:val="24"/>
          <w:highlight w:val="none"/>
        </w:rPr>
      </w:pPr>
      <w:r>
        <w:rPr>
          <w:rFonts w:hint="eastAsia" w:ascii="宋体" w:hAnsi="宋体"/>
          <w:color w:val="000000"/>
          <w:kern w:val="0"/>
          <w:sz w:val="24"/>
          <w:highlight w:val="none"/>
        </w:rPr>
        <w:t>（2）工程竣工结算时一次性扣留质量保证金；</w:t>
      </w:r>
    </w:p>
    <w:p>
      <w:pPr>
        <w:pageBreakBefore w:val="0"/>
        <w:kinsoku/>
        <w:topLinePunct w:val="0"/>
        <w:autoSpaceDE w:val="0"/>
        <w:autoSpaceDN w:val="0"/>
        <w:bidi w:val="0"/>
        <w:adjustRightInd w:val="0"/>
        <w:spacing w:line="360" w:lineRule="auto"/>
        <w:ind w:firstLine="480" w:firstLineChars="200"/>
        <w:rPr>
          <w:rFonts w:hint="eastAsia" w:ascii="宋体" w:hAnsi="宋体"/>
          <w:color w:val="000000"/>
          <w:kern w:val="0"/>
          <w:sz w:val="24"/>
          <w:highlight w:val="none"/>
        </w:rPr>
      </w:pPr>
      <w:r>
        <w:rPr>
          <w:rFonts w:hint="eastAsia" w:ascii="宋体" w:hAnsi="宋体"/>
          <w:color w:val="000000"/>
          <w:kern w:val="0"/>
          <w:sz w:val="24"/>
          <w:highlight w:val="none"/>
        </w:rPr>
        <w:t>（3）其他扣留方式:</w:t>
      </w:r>
      <w:r>
        <w:rPr>
          <w:rFonts w:hint="eastAsia" w:ascii="宋体" w:hAnsi="宋体"/>
          <w:color w:val="000000"/>
          <w:kern w:val="0"/>
          <w:sz w:val="24"/>
          <w:highlight w:val="none"/>
          <w:u w:val="single"/>
        </w:rPr>
        <w:t xml:space="preserve">              /                                 </w:t>
      </w:r>
      <w:r>
        <w:rPr>
          <w:rFonts w:hint="eastAsia" w:ascii="宋体" w:hAnsi="宋体"/>
          <w:color w:val="000000"/>
          <w:kern w:val="0"/>
          <w:sz w:val="24"/>
          <w:highlight w:val="none"/>
        </w:rPr>
        <w:t>。</w:t>
      </w:r>
    </w:p>
    <w:p>
      <w:pPr>
        <w:pageBreakBefore w:val="0"/>
        <w:kinsoku/>
        <w:topLinePunct w:val="0"/>
        <w:bidi w:val="0"/>
        <w:spacing w:line="360" w:lineRule="auto"/>
        <w:ind w:firstLine="456" w:firstLineChars="200"/>
        <w:rPr>
          <w:rFonts w:hint="eastAsia" w:ascii="宋体" w:hAnsi="宋体"/>
          <w:color w:val="000000"/>
          <w:kern w:val="0"/>
          <w:sz w:val="24"/>
          <w:highlight w:val="none"/>
          <w:u w:val="single"/>
        </w:rPr>
      </w:pPr>
      <w:r>
        <w:rPr>
          <w:rFonts w:hint="eastAsia" w:ascii="宋体" w:hAnsi="宋体"/>
          <w:color w:val="000000"/>
          <w:spacing w:val="-6"/>
          <w:sz w:val="24"/>
          <w:highlight w:val="none"/>
        </w:rPr>
        <w:t>关于质量保证金的补充约定：</w:t>
      </w:r>
      <w:r>
        <w:rPr>
          <w:rFonts w:hint="eastAsia" w:ascii="宋体" w:hAnsi="宋体"/>
          <w:color w:val="000000"/>
          <w:spacing w:val="-6"/>
          <w:kern w:val="0"/>
          <w:sz w:val="24"/>
          <w:highlight w:val="none"/>
          <w:u w:val="single"/>
        </w:rPr>
        <w:t>质量保证金在工程竣工验收合格之日起一年后十日内无息返还</w:t>
      </w:r>
      <w:r>
        <w:rPr>
          <w:rFonts w:hint="eastAsia" w:ascii="宋体" w:hAnsi="宋体"/>
          <w:b/>
          <w:color w:val="000000"/>
          <w:kern w:val="0"/>
          <w:sz w:val="24"/>
          <w:highlight w:val="none"/>
        </w:rPr>
        <w:t>。</w:t>
      </w:r>
      <w:r>
        <w:rPr>
          <w:rFonts w:hint="eastAsia" w:ascii="宋体" w:hAnsi="宋体"/>
          <w:color w:val="000000"/>
          <w:kern w:val="0"/>
          <w:sz w:val="24"/>
          <w:highlight w:val="none"/>
        </w:rPr>
        <w:t xml:space="preserve">                                    </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15.4保修</w:t>
      </w:r>
    </w:p>
    <w:p>
      <w:pPr>
        <w:pageBreakBefore w:val="0"/>
        <w:kinsoku/>
        <w:topLinePunct w:val="0"/>
        <w:bidi w:val="0"/>
        <w:spacing w:line="360" w:lineRule="auto"/>
        <w:ind w:firstLine="470" w:firstLineChars="195"/>
        <w:rPr>
          <w:rFonts w:hint="eastAsia" w:ascii="宋体" w:hAnsi="宋体"/>
          <w:b/>
          <w:color w:val="000000"/>
          <w:sz w:val="24"/>
          <w:highlight w:val="none"/>
        </w:rPr>
      </w:pPr>
      <w:r>
        <w:rPr>
          <w:rFonts w:hint="eastAsia" w:ascii="宋体" w:hAnsi="宋体"/>
          <w:b/>
          <w:color w:val="000000"/>
          <w:sz w:val="24"/>
          <w:highlight w:val="none"/>
        </w:rPr>
        <w:t>15.4.1 保修责任</w:t>
      </w:r>
    </w:p>
    <w:p>
      <w:pPr>
        <w:pageBreakBefore w:val="0"/>
        <w:kinsoku/>
        <w:topLinePunct w:val="0"/>
        <w:bidi w:val="0"/>
        <w:spacing w:line="360" w:lineRule="auto"/>
        <w:rPr>
          <w:rFonts w:hint="eastAsia" w:ascii="宋体" w:hAnsi="宋体"/>
          <w:color w:val="000000"/>
          <w:kern w:val="0"/>
          <w:sz w:val="24"/>
          <w:highlight w:val="none"/>
        </w:rPr>
      </w:pPr>
      <w:r>
        <w:rPr>
          <w:rFonts w:hint="eastAsia" w:ascii="宋体" w:hAnsi="宋体"/>
          <w:color w:val="000000"/>
          <w:sz w:val="24"/>
          <w:highlight w:val="none"/>
        </w:rPr>
        <w:t>工程保修期为：</w:t>
      </w:r>
      <w:r>
        <w:rPr>
          <w:rFonts w:hint="eastAsia" w:ascii="宋体" w:hAnsi="宋体"/>
          <w:color w:val="000000"/>
          <w:kern w:val="0"/>
          <w:sz w:val="24"/>
          <w:highlight w:val="none"/>
          <w:u w:val="single"/>
        </w:rPr>
        <w:t xml:space="preserve"> 按国家规定执行</w:t>
      </w:r>
      <w:r>
        <w:rPr>
          <w:rFonts w:hint="eastAsia" w:ascii="宋体" w:hAnsi="宋体"/>
          <w:color w:val="000000"/>
          <w:kern w:val="0"/>
          <w:sz w:val="24"/>
          <w:highlight w:val="none"/>
        </w:rPr>
        <w:t>。</w:t>
      </w:r>
    </w:p>
    <w:p>
      <w:pPr>
        <w:pageBreakBefore w:val="0"/>
        <w:kinsoku/>
        <w:topLinePunct w:val="0"/>
        <w:bidi w:val="0"/>
        <w:spacing w:line="360" w:lineRule="auto"/>
        <w:ind w:firstLine="470" w:firstLineChars="195"/>
        <w:rPr>
          <w:rFonts w:hint="eastAsia" w:ascii="宋体" w:hAnsi="宋体"/>
          <w:b/>
          <w:color w:val="000000"/>
          <w:sz w:val="24"/>
          <w:highlight w:val="none"/>
        </w:rPr>
      </w:pPr>
      <w:r>
        <w:rPr>
          <w:rFonts w:hint="eastAsia" w:ascii="宋体" w:hAnsi="宋体"/>
          <w:b/>
          <w:color w:val="000000"/>
          <w:sz w:val="24"/>
          <w:highlight w:val="none"/>
        </w:rPr>
        <w:t>15.4.3 修复通知</w:t>
      </w:r>
    </w:p>
    <w:p>
      <w:pPr>
        <w:pageBreakBefore w:val="0"/>
        <w:kinsoku/>
        <w:topLinePunct w:val="0"/>
        <w:bidi w:val="0"/>
        <w:spacing w:line="360" w:lineRule="auto"/>
        <w:rPr>
          <w:rFonts w:hint="eastAsia" w:ascii="宋体" w:hAnsi="宋体"/>
          <w:color w:val="000000"/>
          <w:kern w:val="0"/>
          <w:sz w:val="24"/>
          <w:highlight w:val="none"/>
        </w:rPr>
      </w:pPr>
      <w:r>
        <w:rPr>
          <w:rFonts w:hint="eastAsia" w:ascii="宋体" w:hAnsi="宋体"/>
          <w:color w:val="000000"/>
          <w:kern w:val="0"/>
          <w:sz w:val="24"/>
          <w:highlight w:val="none"/>
        </w:rPr>
        <w:t>承包人收到保修通知并到达工程现场的合理时间：</w:t>
      </w:r>
      <w:r>
        <w:rPr>
          <w:rFonts w:hint="eastAsia" w:ascii="宋体" w:hAnsi="宋体"/>
          <w:color w:val="000000"/>
          <w:kern w:val="0"/>
          <w:sz w:val="24"/>
          <w:highlight w:val="none"/>
          <w:u w:val="single"/>
        </w:rPr>
        <w:t xml:space="preserve">  48小时内   </w:t>
      </w:r>
      <w:r>
        <w:rPr>
          <w:rFonts w:hint="eastAsia" w:ascii="宋体" w:hAnsi="宋体"/>
          <w:color w:val="000000"/>
          <w:kern w:val="0"/>
          <w:sz w:val="24"/>
          <w:highlight w:val="none"/>
        </w:rPr>
        <w:t>。</w:t>
      </w:r>
    </w:p>
    <w:p>
      <w:pPr>
        <w:pageBreakBefore w:val="0"/>
        <w:kinsoku/>
        <w:topLinePunct w:val="0"/>
        <w:bidi w:val="0"/>
        <w:spacing w:line="360" w:lineRule="auto"/>
        <w:ind w:firstLine="472" w:firstLineChars="196"/>
        <w:rPr>
          <w:rFonts w:hint="eastAsia" w:ascii="宋体" w:hAnsi="宋体"/>
          <w:b/>
          <w:color w:val="000000"/>
          <w:kern w:val="0"/>
          <w:sz w:val="24"/>
          <w:highlight w:val="none"/>
        </w:rPr>
      </w:pPr>
      <w:r>
        <w:rPr>
          <w:rFonts w:hint="eastAsia" w:ascii="宋体" w:hAnsi="宋体"/>
          <w:b/>
          <w:color w:val="000000"/>
          <w:sz w:val="24"/>
          <w:highlight w:val="none"/>
        </w:rPr>
        <w:t>16. 违约</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16.1 发包人违约</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16.1.1发包人违约的情形</w:t>
      </w:r>
    </w:p>
    <w:p>
      <w:pPr>
        <w:pageBreakBefore w:val="0"/>
        <w:kinsoku/>
        <w:topLinePunct w:val="0"/>
        <w:bidi w:val="0"/>
        <w:spacing w:line="360" w:lineRule="auto"/>
        <w:ind w:firstLine="480" w:firstLineChars="200"/>
        <w:rPr>
          <w:rFonts w:hint="eastAsia" w:ascii="宋体" w:hAnsi="宋体"/>
          <w:color w:val="000000"/>
          <w:kern w:val="0"/>
          <w:sz w:val="24"/>
          <w:highlight w:val="none"/>
          <w:u w:val="single"/>
        </w:rPr>
      </w:pPr>
      <w:r>
        <w:rPr>
          <w:rFonts w:hint="eastAsia" w:ascii="宋体" w:hAnsi="宋体"/>
          <w:color w:val="000000"/>
          <w:kern w:val="0"/>
          <w:sz w:val="24"/>
          <w:highlight w:val="none"/>
        </w:rPr>
        <w:t>发包人违约的其他情形：</w:t>
      </w:r>
      <w:r>
        <w:rPr>
          <w:rFonts w:hint="eastAsia" w:ascii="宋体" w:hAnsi="宋体"/>
          <w:color w:val="000000"/>
          <w:kern w:val="0"/>
          <w:sz w:val="24"/>
          <w:highlight w:val="none"/>
          <w:u w:val="single"/>
        </w:rPr>
        <w:t xml:space="preserve">    按“通用条款”执行    </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16.2 承包人违约</w:t>
      </w:r>
    </w:p>
    <w:p>
      <w:pPr>
        <w:pageBreakBefore w:val="0"/>
        <w:kinsoku/>
        <w:topLinePunct w:val="0"/>
        <w:bidi w:val="0"/>
        <w:spacing w:line="360" w:lineRule="auto"/>
        <w:ind w:firstLine="482" w:firstLineChars="200"/>
        <w:rPr>
          <w:rFonts w:hint="eastAsia" w:ascii="宋体" w:hAnsi="宋体"/>
          <w:b/>
          <w:color w:val="000000"/>
          <w:kern w:val="0"/>
          <w:sz w:val="24"/>
          <w:highlight w:val="none"/>
        </w:rPr>
      </w:pPr>
      <w:r>
        <w:rPr>
          <w:rFonts w:hint="eastAsia" w:ascii="宋体" w:hAnsi="宋体"/>
          <w:b/>
          <w:color w:val="000000"/>
          <w:kern w:val="0"/>
          <w:sz w:val="24"/>
          <w:highlight w:val="none"/>
        </w:rPr>
        <w:t>16.2.1 承包人违约的情形</w:t>
      </w:r>
    </w:p>
    <w:p>
      <w:pPr>
        <w:pageBreakBefore w:val="0"/>
        <w:kinsoku/>
        <w:topLinePunct w:val="0"/>
        <w:bidi w:val="0"/>
        <w:spacing w:line="360" w:lineRule="auto"/>
        <w:rPr>
          <w:rFonts w:hint="eastAsia" w:ascii="宋体" w:hAnsi="宋体"/>
          <w:color w:val="000000"/>
          <w:kern w:val="0"/>
          <w:sz w:val="24"/>
          <w:highlight w:val="none"/>
        </w:rPr>
      </w:pPr>
      <w:r>
        <w:rPr>
          <w:rFonts w:hint="eastAsia" w:ascii="宋体" w:hAnsi="宋体"/>
          <w:color w:val="000000"/>
          <w:kern w:val="0"/>
          <w:sz w:val="24"/>
          <w:highlight w:val="none"/>
        </w:rPr>
        <w:t>承包人违约的其他情形：</w:t>
      </w:r>
      <w:r>
        <w:rPr>
          <w:rFonts w:hint="eastAsia" w:ascii="宋体" w:hAnsi="宋体"/>
          <w:color w:val="000000"/>
          <w:kern w:val="0"/>
          <w:sz w:val="24"/>
          <w:highlight w:val="none"/>
          <w:u w:val="single"/>
        </w:rPr>
        <w:t xml:space="preserve">   双方另行确定     </w:t>
      </w:r>
      <w:r>
        <w:rPr>
          <w:rFonts w:hint="eastAsia" w:ascii="宋体" w:hAnsi="宋体"/>
          <w:color w:val="000000"/>
          <w:kern w:val="0"/>
          <w:sz w:val="24"/>
          <w:highlight w:val="none"/>
        </w:rPr>
        <w:t>。</w:t>
      </w:r>
    </w:p>
    <w:p>
      <w:pPr>
        <w:pageBreakBefore w:val="0"/>
        <w:kinsoku/>
        <w:topLinePunct w:val="0"/>
        <w:bidi w:val="0"/>
        <w:spacing w:line="360" w:lineRule="auto"/>
        <w:ind w:firstLine="482" w:firstLineChars="200"/>
        <w:rPr>
          <w:rFonts w:hint="eastAsia" w:ascii="宋体" w:hAnsi="宋体"/>
          <w:b/>
          <w:color w:val="000000"/>
          <w:kern w:val="0"/>
          <w:sz w:val="24"/>
          <w:highlight w:val="none"/>
        </w:rPr>
      </w:pPr>
      <w:r>
        <w:rPr>
          <w:rFonts w:hint="eastAsia" w:ascii="宋体" w:hAnsi="宋体"/>
          <w:b/>
          <w:color w:val="000000"/>
          <w:kern w:val="0"/>
          <w:sz w:val="24"/>
          <w:highlight w:val="none"/>
        </w:rPr>
        <w:t>16.2.2承包人违约的责任</w:t>
      </w:r>
    </w:p>
    <w:p>
      <w:pPr>
        <w:pageBreakBefore w:val="0"/>
        <w:kinsoku/>
        <w:topLinePunct w:val="0"/>
        <w:bidi w:val="0"/>
        <w:spacing w:line="360" w:lineRule="auto"/>
        <w:ind w:left="1200" w:hanging="1200" w:hangingChars="500"/>
        <w:rPr>
          <w:rFonts w:hint="eastAsia" w:ascii="宋体" w:hAnsi="宋体"/>
          <w:color w:val="000000"/>
          <w:kern w:val="0"/>
          <w:sz w:val="24"/>
          <w:highlight w:val="none"/>
          <w:u w:val="single"/>
        </w:rPr>
      </w:pPr>
      <w:r>
        <w:rPr>
          <w:rFonts w:hint="eastAsia" w:ascii="宋体" w:hAnsi="宋体"/>
          <w:color w:val="000000"/>
          <w:kern w:val="0"/>
          <w:sz w:val="24"/>
          <w:highlight w:val="none"/>
        </w:rPr>
        <w:t>承包人违约责任的承担方式和计算方法：</w:t>
      </w:r>
      <w:r>
        <w:rPr>
          <w:rFonts w:hint="eastAsia" w:ascii="宋体" w:hAnsi="宋体"/>
          <w:color w:val="000000"/>
          <w:kern w:val="0"/>
          <w:sz w:val="24"/>
          <w:highlight w:val="none"/>
          <w:u w:val="single"/>
        </w:rPr>
        <w:t xml:space="preserve"> 执行相关约定</w:t>
      </w:r>
      <w:r>
        <w:rPr>
          <w:rFonts w:hint="eastAsia" w:ascii="宋体" w:hAnsi="宋体"/>
          <w:color w:val="000000"/>
          <w:kern w:val="0"/>
          <w:sz w:val="24"/>
          <w:highlight w:val="none"/>
        </w:rPr>
        <w:t>。</w:t>
      </w:r>
      <w:r>
        <w:rPr>
          <w:rFonts w:hint="eastAsia" w:ascii="宋体" w:hAnsi="宋体"/>
          <w:color w:val="000000"/>
          <w:sz w:val="24"/>
          <w:highlight w:val="none"/>
        </w:rPr>
        <w:t xml:space="preserve">    </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16.2.3 因承包人违约解除合同</w:t>
      </w:r>
    </w:p>
    <w:p>
      <w:pPr>
        <w:pageBreakBefore w:val="0"/>
        <w:kinsoku/>
        <w:topLinePunct w:val="0"/>
        <w:bidi w:val="0"/>
        <w:spacing w:line="360" w:lineRule="auto"/>
        <w:rPr>
          <w:rFonts w:hint="eastAsia" w:ascii="宋体" w:hAnsi="宋体"/>
          <w:color w:val="000000"/>
          <w:kern w:val="0"/>
          <w:sz w:val="24"/>
          <w:highlight w:val="none"/>
        </w:rPr>
      </w:pPr>
      <w:r>
        <w:rPr>
          <w:rFonts w:hint="eastAsia" w:ascii="宋体" w:hAnsi="宋体"/>
          <w:color w:val="000000"/>
          <w:kern w:val="0"/>
          <w:sz w:val="24"/>
          <w:highlight w:val="none"/>
        </w:rPr>
        <w:t>关于承包人违约解除合同的特别约定：</w:t>
      </w:r>
      <w:r>
        <w:rPr>
          <w:rFonts w:hint="eastAsia" w:ascii="宋体" w:hAnsi="宋体"/>
          <w:color w:val="000000"/>
          <w:kern w:val="0"/>
          <w:sz w:val="24"/>
          <w:highlight w:val="none"/>
          <w:u w:val="single"/>
        </w:rPr>
        <w:t xml:space="preserve">   按通用条款执行  </w:t>
      </w:r>
      <w:r>
        <w:rPr>
          <w:rFonts w:hint="eastAsia" w:ascii="宋体" w:hAnsi="宋体"/>
          <w:color w:val="000000"/>
          <w:kern w:val="0"/>
          <w:sz w:val="24"/>
          <w:highlight w:val="none"/>
        </w:rPr>
        <w:t>。</w:t>
      </w:r>
    </w:p>
    <w:p>
      <w:pPr>
        <w:pageBreakBefore w:val="0"/>
        <w:kinsoku/>
        <w:topLinePunct w:val="0"/>
        <w:bidi w:val="0"/>
        <w:spacing w:line="360" w:lineRule="auto"/>
        <w:ind w:firstLine="480" w:firstLineChars="200"/>
        <w:rPr>
          <w:rFonts w:hint="eastAsia" w:ascii="宋体" w:hAnsi="宋体"/>
          <w:color w:val="000000"/>
          <w:kern w:val="0"/>
          <w:sz w:val="24"/>
          <w:highlight w:val="none"/>
        </w:rPr>
      </w:pPr>
      <w:r>
        <w:rPr>
          <w:rFonts w:hint="eastAsia" w:ascii="宋体" w:hAnsi="宋体"/>
          <w:color w:val="000000"/>
          <w:kern w:val="0"/>
          <w:sz w:val="24"/>
          <w:highlight w:val="none"/>
        </w:rPr>
        <w:t>发包人继续使用承包人在施工现场的材料、设备、临时工程、承包人文件和由承包人或以其名义编制的其他文件的费用承担方式：</w:t>
      </w:r>
      <w:r>
        <w:rPr>
          <w:rFonts w:hint="eastAsia" w:ascii="宋体" w:hAnsi="宋体"/>
          <w:color w:val="000000"/>
          <w:kern w:val="0"/>
          <w:sz w:val="24"/>
          <w:highlight w:val="none"/>
          <w:u w:val="single"/>
        </w:rPr>
        <w:t xml:space="preserve">  双方另行确定   </w:t>
      </w:r>
      <w:r>
        <w:rPr>
          <w:rFonts w:hint="eastAsia" w:ascii="宋体" w:hAnsi="宋体"/>
          <w:color w:val="000000"/>
          <w:kern w:val="0"/>
          <w:sz w:val="24"/>
          <w:highlight w:val="none"/>
        </w:rPr>
        <w:t>。</w:t>
      </w:r>
    </w:p>
    <w:p>
      <w:pPr>
        <w:pageBreakBefore w:val="0"/>
        <w:kinsoku/>
        <w:topLinePunct w:val="0"/>
        <w:bidi w:val="0"/>
        <w:spacing w:line="360" w:lineRule="auto"/>
        <w:ind w:firstLine="482" w:firstLineChars="200"/>
        <w:rPr>
          <w:rFonts w:hint="eastAsia" w:ascii="宋体" w:hAnsi="宋体"/>
          <w:b/>
          <w:color w:val="000000"/>
          <w:kern w:val="0"/>
          <w:sz w:val="24"/>
          <w:highlight w:val="none"/>
        </w:rPr>
      </w:pPr>
      <w:r>
        <w:rPr>
          <w:rFonts w:hint="eastAsia" w:ascii="宋体" w:hAnsi="宋体"/>
          <w:b/>
          <w:color w:val="000000"/>
          <w:sz w:val="24"/>
          <w:highlight w:val="none"/>
        </w:rPr>
        <w:t xml:space="preserve">17. 不可抗力 </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17.1 不可抗力的确认</w:t>
      </w:r>
    </w:p>
    <w:p>
      <w:pPr>
        <w:pageBreakBefore w:val="0"/>
        <w:kinsoku/>
        <w:topLinePunct w:val="0"/>
        <w:bidi w:val="0"/>
        <w:spacing w:line="360" w:lineRule="auto"/>
        <w:ind w:firstLine="480" w:firstLineChars="200"/>
        <w:rPr>
          <w:rFonts w:hint="eastAsia" w:ascii="宋体" w:hAnsi="宋体"/>
          <w:color w:val="000000"/>
          <w:kern w:val="0"/>
          <w:sz w:val="24"/>
          <w:highlight w:val="none"/>
          <w:u w:val="single"/>
        </w:rPr>
      </w:pPr>
      <w:r>
        <w:rPr>
          <w:rFonts w:hint="eastAsia" w:ascii="宋体" w:hAnsi="宋体"/>
          <w:color w:val="000000"/>
          <w:sz w:val="24"/>
          <w:highlight w:val="none"/>
        </w:rPr>
        <w:t>除通用合同条款约定的不可抗力事件之外，视为不可抗力的其他情形：</w:t>
      </w:r>
      <w:r>
        <w:rPr>
          <w:rFonts w:hint="eastAsia" w:ascii="宋体" w:hAnsi="宋体"/>
          <w:color w:val="000000"/>
          <w:highlight w:val="none"/>
          <w:u w:val="single"/>
        </w:rPr>
        <w:t>九级及以上的台风</w:t>
      </w:r>
      <w:r>
        <w:rPr>
          <w:rFonts w:hint="eastAsia" w:ascii="宋体" w:hAnsi="宋体"/>
          <w:color w:val="000000"/>
          <w:kern w:val="0"/>
          <w:sz w:val="24"/>
          <w:highlight w:val="none"/>
          <w:u w:val="single"/>
        </w:rPr>
        <w:t xml:space="preserve"> </w:t>
      </w:r>
      <w:r>
        <w:rPr>
          <w:rFonts w:hint="eastAsia" w:ascii="宋体" w:hAnsi="宋体"/>
          <w:color w:val="000000"/>
          <w:kern w:val="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17.4 因不可抗力解除合同</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合同解除后，发包人应在商定或确定发包人应支付款项后</w:t>
      </w:r>
      <w:r>
        <w:rPr>
          <w:rFonts w:hint="eastAsia" w:ascii="宋体" w:hAnsi="宋体"/>
          <w:color w:val="000000"/>
          <w:sz w:val="24"/>
          <w:highlight w:val="none"/>
          <w:u w:val="single"/>
        </w:rPr>
        <w:t xml:space="preserve">  60  </w:t>
      </w:r>
      <w:r>
        <w:rPr>
          <w:rFonts w:hint="eastAsia" w:ascii="宋体" w:hAnsi="宋体"/>
          <w:color w:val="000000"/>
          <w:sz w:val="24"/>
          <w:highlight w:val="none"/>
        </w:rPr>
        <w:t>天内完成款项的支付。</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18. 保险</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18.1 工程保险</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关于工程保险的特别约定：</w:t>
      </w:r>
      <w:r>
        <w:rPr>
          <w:rFonts w:hint="eastAsia" w:ascii="宋体" w:hAnsi="宋体"/>
          <w:color w:val="000000"/>
          <w:kern w:val="0"/>
          <w:sz w:val="24"/>
          <w:highlight w:val="none"/>
          <w:u w:val="single"/>
        </w:rPr>
        <w:t xml:space="preserve">   无   </w:t>
      </w:r>
      <w:r>
        <w:rPr>
          <w:rFonts w:hint="eastAsia" w:ascii="宋体" w:hAnsi="宋体"/>
          <w:color w:val="000000"/>
          <w:kern w:val="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18.3 其他保险</w:t>
      </w:r>
    </w:p>
    <w:p>
      <w:pPr>
        <w:pageBreakBefore w:val="0"/>
        <w:kinsoku/>
        <w:topLinePunct w:val="0"/>
        <w:bidi w:val="0"/>
        <w:spacing w:line="360" w:lineRule="auto"/>
        <w:ind w:firstLine="480" w:firstLineChars="200"/>
        <w:rPr>
          <w:rFonts w:hint="eastAsia" w:ascii="宋体" w:hAnsi="宋体"/>
          <w:color w:val="000000"/>
          <w:kern w:val="0"/>
          <w:sz w:val="24"/>
          <w:highlight w:val="none"/>
        </w:rPr>
      </w:pPr>
      <w:r>
        <w:rPr>
          <w:rFonts w:hint="eastAsia" w:ascii="宋体" w:hAnsi="宋体"/>
          <w:color w:val="000000"/>
          <w:sz w:val="24"/>
          <w:highlight w:val="none"/>
        </w:rPr>
        <w:t>关于其他保险的约定：</w:t>
      </w:r>
      <w:r>
        <w:rPr>
          <w:rFonts w:hint="eastAsia" w:ascii="宋体" w:hAnsi="宋体"/>
          <w:color w:val="000000"/>
          <w:kern w:val="0"/>
          <w:sz w:val="24"/>
          <w:highlight w:val="none"/>
          <w:u w:val="single"/>
        </w:rPr>
        <w:t xml:space="preserve"> 由承包人办理其施工人员的“工伤保险”，费用由承包人承担  </w:t>
      </w:r>
      <w:r>
        <w:rPr>
          <w:rFonts w:hint="eastAsia" w:ascii="宋体" w:hAnsi="宋体"/>
          <w:color w:val="000000"/>
          <w:kern w:val="0"/>
          <w:sz w:val="24"/>
          <w:highlight w:val="none"/>
        </w:rPr>
        <w:t>。</w:t>
      </w:r>
    </w:p>
    <w:p>
      <w:pPr>
        <w:pageBreakBefore w:val="0"/>
        <w:kinsoku/>
        <w:topLinePunct w:val="0"/>
        <w:bidi w:val="0"/>
        <w:spacing w:line="360" w:lineRule="auto"/>
        <w:rPr>
          <w:rFonts w:hint="eastAsia" w:ascii="宋体" w:hAnsi="宋体"/>
          <w:color w:val="000000"/>
          <w:kern w:val="0"/>
          <w:sz w:val="24"/>
          <w:highlight w:val="none"/>
        </w:rPr>
      </w:pPr>
      <w:r>
        <w:rPr>
          <w:rFonts w:hint="eastAsia" w:ascii="宋体" w:hAnsi="宋体"/>
          <w:color w:val="000000"/>
          <w:sz w:val="24"/>
          <w:highlight w:val="none"/>
        </w:rPr>
        <w:t>承包人是否应为其施工设备等办理财产保险：</w:t>
      </w:r>
      <w:r>
        <w:rPr>
          <w:rFonts w:hint="eastAsia" w:ascii="宋体" w:hAnsi="宋体"/>
          <w:color w:val="000000"/>
          <w:sz w:val="24"/>
          <w:highlight w:val="none"/>
          <w:u w:val="single"/>
        </w:rPr>
        <w:t xml:space="preserve">  无 </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18.7 通知义务</w:t>
      </w:r>
    </w:p>
    <w:p>
      <w:pPr>
        <w:pageBreakBefore w:val="0"/>
        <w:kinsoku/>
        <w:topLinePunct w:val="0"/>
        <w:bidi w:val="0"/>
        <w:spacing w:line="360" w:lineRule="auto"/>
        <w:rPr>
          <w:rFonts w:hint="eastAsia" w:ascii="宋体" w:hAnsi="宋体"/>
          <w:color w:val="000000"/>
          <w:sz w:val="24"/>
          <w:highlight w:val="none"/>
        </w:rPr>
      </w:pPr>
      <w:r>
        <w:rPr>
          <w:rFonts w:hint="eastAsia" w:ascii="宋体" w:hAnsi="宋体"/>
          <w:color w:val="000000"/>
          <w:kern w:val="0"/>
          <w:sz w:val="24"/>
          <w:highlight w:val="none"/>
        </w:rPr>
        <w:t>关于变更保险合同时的通知义务的约定：</w:t>
      </w:r>
      <w:r>
        <w:rPr>
          <w:rFonts w:hint="eastAsia" w:ascii="宋体" w:hAnsi="宋体"/>
          <w:color w:val="000000"/>
          <w:sz w:val="24"/>
          <w:highlight w:val="none"/>
          <w:u w:val="single"/>
        </w:rPr>
        <w:t xml:space="preserve">    无  </w:t>
      </w:r>
      <w:r>
        <w:rPr>
          <w:rFonts w:hint="eastAsia" w:ascii="宋体" w:hAnsi="宋体"/>
          <w:color w:val="000000"/>
          <w:sz w:val="24"/>
          <w:highlight w:val="none"/>
        </w:rPr>
        <w:t xml:space="preserve"> 。</w:t>
      </w:r>
    </w:p>
    <w:p>
      <w:pPr>
        <w:pageBreakBefore w:val="0"/>
        <w:kinsoku/>
        <w:topLinePunct w:val="0"/>
        <w:bidi w:val="0"/>
        <w:spacing w:line="360" w:lineRule="auto"/>
        <w:ind w:firstLine="472" w:firstLineChars="196"/>
        <w:rPr>
          <w:rFonts w:hint="eastAsia" w:ascii="宋体" w:hAnsi="宋体"/>
          <w:b/>
          <w:color w:val="000000"/>
          <w:sz w:val="24"/>
          <w:highlight w:val="none"/>
        </w:rPr>
      </w:pPr>
      <w:r>
        <w:rPr>
          <w:rFonts w:hint="eastAsia" w:ascii="宋体" w:hAnsi="宋体"/>
          <w:b/>
          <w:color w:val="000000"/>
          <w:sz w:val="24"/>
          <w:highlight w:val="none"/>
        </w:rPr>
        <w:t>20. 争议解决</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20.3 争议评审</w:t>
      </w:r>
    </w:p>
    <w:p>
      <w:pPr>
        <w:pageBreakBefore w:val="0"/>
        <w:kinsoku/>
        <w:topLinePunct w:val="0"/>
        <w:bidi w:val="0"/>
        <w:spacing w:line="360" w:lineRule="auto"/>
        <w:ind w:left="149" w:leftChars="71" w:firstLine="360" w:firstLineChars="150"/>
        <w:rPr>
          <w:rFonts w:hint="eastAsia" w:ascii="宋体" w:hAnsi="宋体"/>
          <w:color w:val="000000"/>
          <w:sz w:val="24"/>
          <w:highlight w:val="none"/>
          <w:u w:val="single"/>
        </w:rPr>
      </w:pPr>
      <w:r>
        <w:rPr>
          <w:rFonts w:hint="eastAsia" w:ascii="宋体" w:hAnsi="宋体"/>
          <w:color w:val="000000"/>
          <w:sz w:val="24"/>
          <w:highlight w:val="none"/>
        </w:rPr>
        <w:t>合同当事人是否同意将工程争议提交争议评审小组决定：</w:t>
      </w:r>
      <w:r>
        <w:rPr>
          <w:rFonts w:hint="eastAsia" w:ascii="宋体" w:hAnsi="宋体"/>
          <w:color w:val="000000"/>
          <w:sz w:val="24"/>
          <w:highlight w:val="none"/>
          <w:u w:val="single"/>
        </w:rPr>
        <w:t xml:space="preserve">      /          </w:t>
      </w:r>
      <w:r>
        <w:rPr>
          <w:rFonts w:hint="eastAsia" w:ascii="宋体" w:hAnsi="宋体"/>
          <w:color w:val="000000"/>
          <w:sz w:val="24"/>
          <w:highlight w:val="none"/>
        </w:rPr>
        <w:t xml:space="preserve">。  </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20.3.1 争议评审小组的确定</w:t>
      </w:r>
    </w:p>
    <w:p>
      <w:pPr>
        <w:pageBreakBefore w:val="0"/>
        <w:kinsoku/>
        <w:topLinePunct w:val="0"/>
        <w:bidi w:val="0"/>
        <w:spacing w:line="360" w:lineRule="auto"/>
        <w:ind w:firstLine="480" w:firstLineChars="200"/>
        <w:rPr>
          <w:rFonts w:hint="eastAsia" w:ascii="宋体" w:hAnsi="宋体"/>
          <w:color w:val="000000"/>
          <w:sz w:val="24"/>
          <w:highlight w:val="none"/>
          <w:u w:val="single"/>
        </w:rPr>
      </w:pPr>
      <w:r>
        <w:rPr>
          <w:rFonts w:hint="eastAsia" w:ascii="宋体" w:hAnsi="宋体"/>
          <w:color w:val="000000"/>
          <w:sz w:val="24"/>
          <w:highlight w:val="none"/>
        </w:rPr>
        <w:t>争议评审小组成员的确定：</w:t>
      </w:r>
      <w:r>
        <w:rPr>
          <w:rFonts w:hint="eastAsia" w:ascii="宋体" w:hAnsi="宋体"/>
          <w:color w:val="000000"/>
          <w:sz w:val="24"/>
          <w:highlight w:val="none"/>
          <w:u w:val="single"/>
        </w:rPr>
        <w:t xml:space="preserve">           /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选定争议评审员的期限：</w:t>
      </w:r>
      <w:r>
        <w:rPr>
          <w:rFonts w:hint="eastAsia" w:ascii="宋体" w:hAnsi="宋体"/>
          <w:color w:val="000000"/>
          <w:sz w:val="24"/>
          <w:highlight w:val="none"/>
          <w:u w:val="single"/>
        </w:rPr>
        <w:t xml:space="preserve">                /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争议评审小组成员的报酬承担方式：</w:t>
      </w:r>
      <w:r>
        <w:rPr>
          <w:rFonts w:hint="eastAsia" w:ascii="宋体" w:hAnsi="宋体"/>
          <w:color w:val="000000"/>
          <w:sz w:val="24"/>
          <w:highlight w:val="none"/>
          <w:u w:val="single"/>
        </w:rPr>
        <w:t xml:space="preserve">         /           </w:t>
      </w:r>
      <w:r>
        <w:rPr>
          <w:rFonts w:hint="eastAsia" w:ascii="宋体" w:hAnsi="宋体"/>
          <w:color w:val="000000"/>
          <w:sz w:val="24"/>
          <w:highlight w:val="none"/>
        </w:rPr>
        <w:t>。</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其他事项的约定：</w:t>
      </w:r>
      <w:r>
        <w:rPr>
          <w:rFonts w:hint="eastAsia" w:ascii="宋体" w:hAnsi="宋体"/>
          <w:color w:val="000000"/>
          <w:sz w:val="24"/>
          <w:highlight w:val="none"/>
          <w:u w:val="single"/>
        </w:rPr>
        <w:t xml:space="preserve">                         /            </w:t>
      </w:r>
      <w:r>
        <w:rPr>
          <w:rFonts w:hint="eastAsia" w:ascii="宋体" w:hAnsi="宋体"/>
          <w:color w:val="000000"/>
          <w:sz w:val="24"/>
          <w:highlight w:val="none"/>
        </w:rPr>
        <w:t>。</w:t>
      </w:r>
    </w:p>
    <w:p>
      <w:pPr>
        <w:pageBreakBefore w:val="0"/>
        <w:kinsoku/>
        <w:topLinePunct w:val="0"/>
        <w:autoSpaceDE w:val="0"/>
        <w:autoSpaceDN w:val="0"/>
        <w:bidi w:val="0"/>
        <w:adjustRightInd w:val="0"/>
        <w:spacing w:line="360" w:lineRule="auto"/>
        <w:ind w:firstLine="482" w:firstLineChars="200"/>
        <w:rPr>
          <w:rFonts w:hint="eastAsia" w:ascii="宋体" w:hAnsi="宋体"/>
          <w:b/>
          <w:color w:val="000000"/>
          <w:kern w:val="0"/>
          <w:sz w:val="24"/>
          <w:highlight w:val="none"/>
        </w:rPr>
      </w:pPr>
      <w:r>
        <w:rPr>
          <w:rFonts w:hint="eastAsia" w:ascii="宋体" w:hAnsi="宋体"/>
          <w:b/>
          <w:color w:val="000000"/>
          <w:kern w:val="0"/>
          <w:sz w:val="24"/>
          <w:highlight w:val="none"/>
        </w:rPr>
        <w:t>20.3.2 争议评审小组的决定</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合同当事人关于本项的约定：</w:t>
      </w:r>
      <w:r>
        <w:rPr>
          <w:rFonts w:hint="eastAsia" w:ascii="宋体" w:hAnsi="宋体"/>
          <w:color w:val="000000"/>
          <w:sz w:val="24"/>
          <w:highlight w:val="none"/>
          <w:u w:val="single"/>
        </w:rPr>
        <w:t xml:space="preserve">               /            </w:t>
      </w:r>
      <w:r>
        <w:rPr>
          <w:rFonts w:hint="eastAsia" w:ascii="宋体" w:hAnsi="宋体"/>
          <w:color w:val="000000"/>
          <w:sz w:val="24"/>
          <w:highlight w:val="none"/>
        </w:rPr>
        <w:t>。</w:t>
      </w:r>
    </w:p>
    <w:p>
      <w:pPr>
        <w:pageBreakBefore w:val="0"/>
        <w:kinsoku/>
        <w:topLinePunct w:val="0"/>
        <w:bidi w:val="0"/>
        <w:spacing w:line="360" w:lineRule="auto"/>
        <w:ind w:firstLine="482" w:firstLineChars="200"/>
        <w:rPr>
          <w:rFonts w:hint="eastAsia" w:ascii="宋体" w:hAnsi="宋体"/>
          <w:b/>
          <w:color w:val="000000"/>
          <w:sz w:val="24"/>
          <w:highlight w:val="none"/>
        </w:rPr>
      </w:pPr>
      <w:r>
        <w:rPr>
          <w:rFonts w:hint="eastAsia" w:ascii="宋体" w:hAnsi="宋体"/>
          <w:b/>
          <w:color w:val="000000"/>
          <w:sz w:val="24"/>
          <w:highlight w:val="none"/>
        </w:rPr>
        <w:t>20.4仲裁或诉讼</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因合同及合同有关事项发生的争议，按下列第</w:t>
      </w:r>
      <w:r>
        <w:rPr>
          <w:rFonts w:hint="eastAsia" w:ascii="宋体" w:hAnsi="宋体"/>
          <w:color w:val="000000"/>
          <w:sz w:val="24"/>
          <w:highlight w:val="none"/>
          <w:u w:val="single"/>
        </w:rPr>
        <w:t xml:space="preserve">  </w:t>
      </w:r>
      <w:r>
        <w:rPr>
          <w:rFonts w:hint="eastAsia" w:ascii="宋体" w:hAnsi="宋体"/>
          <w:b/>
          <w:color w:val="000000"/>
          <w:sz w:val="24"/>
          <w:highlight w:val="none"/>
          <w:u w:val="single"/>
        </w:rPr>
        <w:t>2</w:t>
      </w:r>
      <w:r>
        <w:rPr>
          <w:rFonts w:hint="eastAsia" w:ascii="宋体" w:hAnsi="宋体"/>
          <w:color w:val="000000"/>
          <w:sz w:val="24"/>
          <w:highlight w:val="none"/>
          <w:u w:val="single"/>
        </w:rPr>
        <w:t xml:space="preserve">  </w:t>
      </w:r>
      <w:r>
        <w:rPr>
          <w:rFonts w:hint="eastAsia" w:ascii="宋体" w:hAnsi="宋体"/>
          <w:color w:val="000000"/>
          <w:sz w:val="24"/>
          <w:highlight w:val="none"/>
        </w:rPr>
        <w:t>种方式解决：</w:t>
      </w:r>
    </w:p>
    <w:p>
      <w:pPr>
        <w:pageBreakBefore w:val="0"/>
        <w:kinsoku/>
        <w:topLinePunct w:val="0"/>
        <w:bidi w:val="0"/>
        <w:spacing w:line="360" w:lineRule="auto"/>
        <w:ind w:firstLine="480" w:firstLineChars="200"/>
        <w:rPr>
          <w:rFonts w:hint="eastAsia" w:ascii="宋体" w:hAnsi="宋体"/>
          <w:color w:val="000000"/>
          <w:sz w:val="24"/>
          <w:highlight w:val="none"/>
        </w:rPr>
      </w:pPr>
      <w:r>
        <w:rPr>
          <w:rFonts w:hint="eastAsia" w:ascii="宋体" w:hAnsi="宋体"/>
          <w:color w:val="000000"/>
          <w:sz w:val="24"/>
          <w:highlight w:val="none"/>
        </w:rPr>
        <w:t>（1）向</w:t>
      </w:r>
      <w:r>
        <w:rPr>
          <w:rFonts w:hint="eastAsia" w:ascii="宋体" w:hAnsi="宋体"/>
          <w:color w:val="000000"/>
          <w:sz w:val="24"/>
          <w:highlight w:val="none"/>
          <w:u w:val="single"/>
        </w:rPr>
        <w:t xml:space="preserve">         </w:t>
      </w:r>
      <w:r>
        <w:rPr>
          <w:rFonts w:hint="eastAsia" w:ascii="宋体" w:hAnsi="宋体"/>
          <w:color w:val="000000"/>
          <w:sz w:val="24"/>
          <w:highlight w:val="none"/>
        </w:rPr>
        <w:t>仲裁委员会申请仲裁；</w:t>
      </w:r>
    </w:p>
    <w:p>
      <w:pPr>
        <w:pageBreakBefore w:val="0"/>
        <w:kinsoku/>
        <w:topLinePunct w:val="0"/>
        <w:bidi w:val="0"/>
        <w:spacing w:line="360" w:lineRule="auto"/>
        <w:ind w:firstLine="480" w:firstLineChars="200"/>
        <w:rPr>
          <w:rFonts w:hint="eastAsia"/>
          <w:color w:val="000000"/>
          <w:sz w:val="44"/>
          <w:highlight w:val="none"/>
        </w:rPr>
      </w:pPr>
      <w:r>
        <w:rPr>
          <w:rFonts w:hint="eastAsia" w:ascii="宋体" w:hAnsi="宋体"/>
          <w:color w:val="000000"/>
          <w:sz w:val="24"/>
          <w:highlight w:val="none"/>
        </w:rPr>
        <w:t>（2）向</w:t>
      </w:r>
      <w:r>
        <w:rPr>
          <w:rFonts w:hint="eastAsia" w:ascii="宋体" w:hAnsi="宋体"/>
          <w:color w:val="000000"/>
          <w:sz w:val="24"/>
          <w:highlight w:val="none"/>
          <w:u w:val="single"/>
        </w:rPr>
        <w:t xml:space="preserve">  海南省 </w:t>
      </w:r>
      <w:r>
        <w:rPr>
          <w:rFonts w:hint="eastAsia" w:ascii="宋体" w:hAnsi="宋体"/>
          <w:color w:val="000000"/>
          <w:sz w:val="24"/>
          <w:highlight w:val="none"/>
        </w:rPr>
        <w:t>人民法院起诉。</w:t>
      </w:r>
      <w:bookmarkEnd w:id="138"/>
      <w:bookmarkEnd w:id="139"/>
      <w:bookmarkEnd w:id="140"/>
      <w:bookmarkEnd w:id="141"/>
      <w:bookmarkEnd w:id="142"/>
      <w:bookmarkEnd w:id="143"/>
      <w:bookmarkEnd w:id="144"/>
      <w:bookmarkEnd w:id="145"/>
      <w:bookmarkEnd w:id="146"/>
      <w:bookmarkEnd w:id="147"/>
    </w:p>
    <w:p>
      <w:pPr>
        <w:pageBreakBefore w:val="0"/>
        <w:kinsoku/>
        <w:topLinePunct w:val="0"/>
        <w:bidi w:val="0"/>
        <w:spacing w:line="360" w:lineRule="auto"/>
        <w:rPr>
          <w:rFonts w:hint="eastAsia" w:cs="宋体"/>
          <w:color w:val="000000"/>
          <w:sz w:val="24"/>
          <w:highlight w:val="none"/>
        </w:rPr>
      </w:pPr>
    </w:p>
    <w:p>
      <w:pPr>
        <w:pageBreakBefore w:val="0"/>
        <w:kinsoku/>
        <w:topLinePunct w:val="0"/>
        <w:bidi w:val="0"/>
        <w:spacing w:line="360" w:lineRule="auto"/>
        <w:rPr>
          <w:rFonts w:hint="eastAsia" w:hAnsi="宋体" w:cs="宋体"/>
          <w:b/>
          <w:bCs/>
          <w:color w:val="000000"/>
          <w:sz w:val="24"/>
          <w:highlight w:val="none"/>
        </w:rPr>
      </w:pPr>
    </w:p>
    <w:p>
      <w:pPr>
        <w:pageBreakBefore w:val="0"/>
        <w:kinsoku/>
        <w:topLinePunct w:val="0"/>
        <w:bidi w:val="0"/>
        <w:spacing w:line="360" w:lineRule="auto"/>
        <w:ind w:firstLine="482" w:firstLineChars="200"/>
        <w:rPr>
          <w:rFonts w:hint="eastAsia" w:hAnsi="宋体" w:cs="宋体"/>
          <w:b/>
          <w:bCs/>
          <w:color w:val="000000"/>
          <w:sz w:val="24"/>
          <w:highlight w:val="none"/>
        </w:rPr>
      </w:pPr>
    </w:p>
    <w:p>
      <w:pPr>
        <w:pageBreakBefore w:val="0"/>
        <w:kinsoku/>
        <w:topLinePunct w:val="0"/>
        <w:bidi w:val="0"/>
        <w:spacing w:line="360" w:lineRule="auto"/>
        <w:jc w:val="center"/>
        <w:outlineLvl w:val="0"/>
        <w:rPr>
          <w:rFonts w:hint="eastAsia"/>
          <w:b/>
          <w:color w:val="000000"/>
          <w:sz w:val="48"/>
          <w:szCs w:val="48"/>
          <w:highlight w:val="none"/>
        </w:rPr>
      </w:pPr>
      <w:bookmarkStart w:id="172" w:name="_Toc317237622"/>
      <w:bookmarkStart w:id="173" w:name="_Toc14678"/>
      <w:r>
        <w:rPr>
          <w:rFonts w:hint="eastAsia"/>
          <w:b/>
          <w:color w:val="000000"/>
          <w:sz w:val="48"/>
          <w:szCs w:val="48"/>
          <w:highlight w:val="none"/>
        </w:rPr>
        <w:t xml:space="preserve">第五部分  </w:t>
      </w:r>
      <w:bookmarkEnd w:id="172"/>
      <w:r>
        <w:rPr>
          <w:rFonts w:hint="eastAsia"/>
          <w:b/>
          <w:color w:val="000000"/>
          <w:sz w:val="48"/>
          <w:szCs w:val="48"/>
          <w:highlight w:val="none"/>
        </w:rPr>
        <w:t>评审程序、方法和标准</w:t>
      </w:r>
      <w:bookmarkEnd w:id="173"/>
    </w:p>
    <w:p>
      <w:pPr>
        <w:pageBreakBefore w:val="0"/>
        <w:kinsoku/>
        <w:topLinePunct w:val="0"/>
        <w:bidi w:val="0"/>
        <w:spacing w:line="360" w:lineRule="auto"/>
        <w:rPr>
          <w:rFonts w:hint="eastAsia"/>
          <w:color w:val="000000"/>
          <w:sz w:val="24"/>
          <w:highlight w:val="none"/>
        </w:rPr>
      </w:pPr>
    </w:p>
    <w:p>
      <w:pPr>
        <w:pageBreakBefore w:val="0"/>
        <w:kinsoku/>
        <w:topLinePunct w:val="0"/>
        <w:bidi w:val="0"/>
        <w:spacing w:line="360" w:lineRule="auto"/>
        <w:rPr>
          <w:rFonts w:hint="eastAsia"/>
          <w:color w:val="000000"/>
          <w:sz w:val="24"/>
          <w:highlight w:val="none"/>
        </w:rPr>
      </w:pPr>
    </w:p>
    <w:p>
      <w:pPr>
        <w:pageBreakBefore w:val="0"/>
        <w:numPr>
          <w:ilvl w:val="0"/>
          <w:numId w:val="5"/>
        </w:numPr>
        <w:kinsoku/>
        <w:topLinePunct w:val="0"/>
        <w:bidi w:val="0"/>
        <w:spacing w:line="360" w:lineRule="auto"/>
        <w:rPr>
          <w:rFonts w:hint="eastAsia"/>
          <w:b/>
          <w:bCs/>
          <w:color w:val="000000"/>
          <w:sz w:val="24"/>
          <w:szCs w:val="24"/>
          <w:highlight w:val="none"/>
        </w:rPr>
      </w:pPr>
      <w:bookmarkStart w:id="174" w:name="_Toc317237623"/>
      <w:bookmarkStart w:id="175" w:name="_Toc3864"/>
      <w:r>
        <w:rPr>
          <w:rFonts w:hint="eastAsia"/>
          <w:b/>
          <w:bCs/>
          <w:color w:val="000000"/>
          <w:sz w:val="24"/>
          <w:szCs w:val="24"/>
          <w:highlight w:val="none"/>
        </w:rPr>
        <w:t>总则</w:t>
      </w:r>
      <w:bookmarkEnd w:id="174"/>
      <w:bookmarkEnd w:id="175"/>
    </w:p>
    <w:p>
      <w:pPr>
        <w:pageBreakBefore w:val="0"/>
        <w:kinsoku/>
        <w:topLinePunct w:val="0"/>
        <w:bidi w:val="0"/>
        <w:spacing w:line="360" w:lineRule="auto"/>
        <w:ind w:firstLine="480" w:firstLineChars="200"/>
        <w:rPr>
          <w:rFonts w:hint="eastAsia"/>
          <w:color w:val="000000"/>
          <w:sz w:val="24"/>
          <w:highlight w:val="none"/>
        </w:rPr>
      </w:pPr>
      <w:r>
        <w:rPr>
          <w:rFonts w:hint="eastAsia"/>
          <w:color w:val="000000"/>
          <w:sz w:val="24"/>
          <w:highlight w:val="none"/>
        </w:rPr>
        <w:t>1.1 根据《中华人民共和国政府采购法》、《政府采购竞争性磋商采购方式管理暂行办法》和《政府采购货物和服务招标投标管理办法》（财政部第87号令）等法律和规章，结合本采购项目特点制定本评审办法。</w:t>
      </w:r>
    </w:p>
    <w:p>
      <w:pPr>
        <w:pageBreakBefore w:val="0"/>
        <w:kinsoku/>
        <w:topLinePunct w:val="0"/>
        <w:bidi w:val="0"/>
        <w:spacing w:line="360" w:lineRule="auto"/>
        <w:ind w:firstLine="480" w:firstLineChars="200"/>
        <w:rPr>
          <w:rFonts w:hint="eastAsia"/>
          <w:color w:val="000000"/>
          <w:sz w:val="24"/>
          <w:highlight w:val="none"/>
        </w:rPr>
      </w:pPr>
      <w:r>
        <w:rPr>
          <w:rFonts w:hint="eastAsia"/>
          <w:color w:val="000000"/>
          <w:sz w:val="24"/>
          <w:highlight w:val="none"/>
        </w:rPr>
        <w:t>1.2 磋商工作由采购人、采购代理机构负责组织，评审由采购人、采购代理机构依法组建的磋商小组负责。磋商小组由采购人代表和有关技术、经济等方面的专家组成。</w:t>
      </w:r>
    </w:p>
    <w:p>
      <w:pPr>
        <w:pageBreakBefore w:val="0"/>
        <w:kinsoku/>
        <w:topLinePunct w:val="0"/>
        <w:bidi w:val="0"/>
        <w:spacing w:line="360" w:lineRule="auto"/>
        <w:ind w:firstLine="480" w:firstLineChars="200"/>
        <w:rPr>
          <w:rFonts w:hint="eastAsia"/>
          <w:color w:val="000000"/>
          <w:sz w:val="24"/>
          <w:highlight w:val="none"/>
        </w:rPr>
      </w:pPr>
      <w:r>
        <w:rPr>
          <w:rFonts w:hint="eastAsia"/>
          <w:color w:val="000000"/>
          <w:sz w:val="24"/>
          <w:highlight w:val="none"/>
        </w:rPr>
        <w:t>1.3 磋商小组成员应当按照客观、公正、审慎的原则，根据磋商文件规定的评审程序、评审方法和评审标准进行独立评审。未实质性响应磋商文件的响应文件按无效响应处理，磋商小组应当告知提交响应文件的供应商。</w:t>
      </w:r>
    </w:p>
    <w:p>
      <w:pPr>
        <w:pageBreakBefore w:val="0"/>
        <w:kinsoku/>
        <w:topLinePunct w:val="0"/>
        <w:bidi w:val="0"/>
        <w:spacing w:line="360" w:lineRule="auto"/>
        <w:ind w:firstLine="480" w:firstLineChars="200"/>
        <w:rPr>
          <w:rFonts w:hint="eastAsia"/>
          <w:color w:val="000000"/>
          <w:sz w:val="24"/>
          <w:highlight w:val="none"/>
        </w:rPr>
      </w:pPr>
      <w:r>
        <w:rPr>
          <w:rFonts w:hint="eastAsia"/>
          <w:color w:val="000000"/>
          <w:sz w:val="24"/>
          <w:highlight w:val="none"/>
        </w:rPr>
        <w:t>1.4 评审过程严格保密。供应商对磋商小组的评审过程或合同授予决定施加影响的任何行为都可能导致其响应文件被拒绝。</w:t>
      </w:r>
    </w:p>
    <w:p>
      <w:pPr>
        <w:pageBreakBefore w:val="0"/>
        <w:kinsoku/>
        <w:topLinePunct w:val="0"/>
        <w:bidi w:val="0"/>
        <w:spacing w:line="360" w:lineRule="auto"/>
        <w:ind w:firstLine="480" w:firstLineChars="200"/>
        <w:rPr>
          <w:rFonts w:hint="eastAsia"/>
          <w:color w:val="000000"/>
          <w:sz w:val="24"/>
          <w:highlight w:val="none"/>
        </w:rPr>
      </w:pPr>
      <w:r>
        <w:rPr>
          <w:rFonts w:hint="eastAsia"/>
          <w:color w:val="000000"/>
          <w:sz w:val="24"/>
          <w:highlight w:val="none"/>
        </w:rPr>
        <w:t>1.5 磋商小组发现磋商文件表述不明确或需要说明的事项，可提请采购人、采购代理机构书面解释说明。</w:t>
      </w:r>
    </w:p>
    <w:p>
      <w:pPr>
        <w:pageBreakBefore w:val="0"/>
        <w:kinsoku/>
        <w:topLinePunct w:val="0"/>
        <w:bidi w:val="0"/>
        <w:spacing w:line="360" w:lineRule="auto"/>
        <w:ind w:firstLine="480" w:firstLineChars="200"/>
        <w:rPr>
          <w:rFonts w:hint="eastAsia"/>
          <w:color w:val="000000"/>
          <w:sz w:val="24"/>
          <w:highlight w:val="none"/>
        </w:rPr>
      </w:pPr>
      <w:r>
        <w:rPr>
          <w:rFonts w:hint="eastAsia"/>
          <w:color w:val="000000"/>
          <w:sz w:val="24"/>
          <w:highlight w:val="none"/>
        </w:rPr>
        <w:t>1.6 磋商小组对响应文件的判定，只依据响应文件和磋商过程中认定的文件，不依据磋商后的任何外来证明。</w:t>
      </w:r>
    </w:p>
    <w:p>
      <w:pPr>
        <w:pageBreakBefore w:val="0"/>
        <w:numPr>
          <w:ilvl w:val="0"/>
          <w:numId w:val="5"/>
        </w:numPr>
        <w:kinsoku/>
        <w:topLinePunct w:val="0"/>
        <w:bidi w:val="0"/>
        <w:spacing w:line="360" w:lineRule="auto"/>
        <w:rPr>
          <w:rFonts w:hint="eastAsia"/>
          <w:b/>
          <w:bCs/>
          <w:color w:val="000000"/>
          <w:sz w:val="24"/>
          <w:szCs w:val="24"/>
          <w:highlight w:val="none"/>
        </w:rPr>
      </w:pPr>
      <w:bookmarkStart w:id="176" w:name="_Toc29597"/>
      <w:r>
        <w:rPr>
          <w:rFonts w:hint="eastAsia"/>
          <w:b/>
          <w:bCs/>
          <w:color w:val="000000"/>
          <w:sz w:val="24"/>
          <w:szCs w:val="24"/>
          <w:highlight w:val="none"/>
        </w:rPr>
        <w:t>评审程序、评审方法和评审标准</w:t>
      </w:r>
      <w:bookmarkEnd w:id="176"/>
    </w:p>
    <w:p>
      <w:pPr>
        <w:pageBreakBefore w:val="0"/>
        <w:kinsoku/>
        <w:topLinePunct w:val="0"/>
        <w:bidi w:val="0"/>
        <w:spacing w:line="360" w:lineRule="auto"/>
        <w:ind w:firstLine="482" w:firstLineChars="200"/>
        <w:rPr>
          <w:rFonts w:hint="eastAsia"/>
          <w:b/>
          <w:color w:val="000000"/>
          <w:sz w:val="24"/>
          <w:highlight w:val="none"/>
        </w:rPr>
      </w:pPr>
      <w:r>
        <w:rPr>
          <w:rFonts w:hint="eastAsia"/>
          <w:b/>
          <w:color w:val="000000"/>
          <w:sz w:val="24"/>
          <w:highlight w:val="none"/>
        </w:rPr>
        <w:t>1、响应文件的资格性、符合性和响应程度审查（见附件1）</w:t>
      </w:r>
    </w:p>
    <w:p>
      <w:pPr>
        <w:pageBreakBefore w:val="0"/>
        <w:kinsoku/>
        <w:topLinePunct w:val="0"/>
        <w:bidi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1.1磋商小组会根据《资格性审查表》和《符合性审查表》，对</w:t>
      </w:r>
      <w:r>
        <w:rPr>
          <w:rFonts w:hint="eastAsia" w:ascii="宋体" w:hAnsi="宋体" w:cs="宋体"/>
          <w:color w:val="000000"/>
          <w:sz w:val="24"/>
          <w:highlight w:val="none"/>
          <w:lang w:eastAsia="zh-CN"/>
        </w:rPr>
        <w:t>供应商</w:t>
      </w:r>
      <w:r>
        <w:rPr>
          <w:rFonts w:hint="eastAsia" w:ascii="宋体" w:hAnsi="宋体" w:cs="宋体"/>
          <w:color w:val="000000"/>
          <w:sz w:val="24"/>
          <w:highlight w:val="none"/>
        </w:rPr>
        <w:t>的资格和投标文件的符合性进行评审。只有对《资格性审查表》和《符合性审查表》所列各项做出实质性响应的投标文件才能通过初步评审。对投标是否实质响应招标文件的要求产生争议的，磋商小组以记名方式表决，得票超过半数的</w:t>
      </w:r>
      <w:r>
        <w:rPr>
          <w:rFonts w:hint="eastAsia" w:ascii="宋体" w:hAnsi="宋体" w:cs="宋体"/>
          <w:color w:val="000000"/>
          <w:sz w:val="24"/>
          <w:highlight w:val="none"/>
          <w:lang w:eastAsia="zh-CN"/>
        </w:rPr>
        <w:t>供应商</w:t>
      </w:r>
      <w:r>
        <w:rPr>
          <w:rFonts w:hint="eastAsia" w:ascii="宋体" w:hAnsi="宋体" w:cs="宋体"/>
          <w:color w:val="000000"/>
          <w:sz w:val="24"/>
          <w:highlight w:val="none"/>
        </w:rPr>
        <w:t>有资格进入下一阶段的评审，否则被淘汰。</w:t>
      </w:r>
    </w:p>
    <w:p>
      <w:pPr>
        <w:pageBreakBefore w:val="0"/>
        <w:kinsoku/>
        <w:topLinePunct w:val="0"/>
        <w:bidi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1.2磋商小组将审查响应文件是否完整、有关资料证明文件是否真实有效、是否提交投标保证金、文件签署是否合格、投标有效期是否满足要求、投标文件的总体编排是否基本有序等。</w:t>
      </w:r>
    </w:p>
    <w:p>
      <w:pPr>
        <w:pageBreakBefore w:val="0"/>
        <w:kinsoku/>
        <w:topLinePunct w:val="0"/>
        <w:bidi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1.3在详细评审之前，磋商小组要审查每份响应文件是否实质上响应了招标文件的要求。实质上响应的投标，应该是符合招标文件全部条款、条件和规格的要求，没有重大偏离或保留的投标。所谓重大偏离或保留，是指实质上影响合同的供货范围、质量和性能；或者实质上与招标文件不一致，而且限制了合同中采购人的权利或</w:t>
      </w:r>
      <w:r>
        <w:rPr>
          <w:rFonts w:hint="eastAsia" w:ascii="宋体" w:hAnsi="宋体" w:cs="宋体"/>
          <w:color w:val="000000"/>
          <w:sz w:val="24"/>
          <w:highlight w:val="none"/>
          <w:lang w:eastAsia="zh-CN"/>
        </w:rPr>
        <w:t>供应商</w:t>
      </w:r>
      <w:r>
        <w:rPr>
          <w:rFonts w:hint="eastAsia" w:ascii="宋体" w:hAnsi="宋体" w:cs="宋体"/>
          <w:color w:val="000000"/>
          <w:sz w:val="24"/>
          <w:highlight w:val="none"/>
        </w:rPr>
        <w:t>的义务；纠正这些偏离或保留，将会对其他实质上的响应要求的</w:t>
      </w:r>
      <w:r>
        <w:rPr>
          <w:rFonts w:hint="eastAsia" w:ascii="宋体" w:hAnsi="宋体" w:cs="宋体"/>
          <w:color w:val="000000"/>
          <w:sz w:val="24"/>
          <w:highlight w:val="none"/>
          <w:lang w:eastAsia="zh-CN"/>
        </w:rPr>
        <w:t>供应商</w:t>
      </w:r>
      <w:r>
        <w:rPr>
          <w:rFonts w:hint="eastAsia" w:ascii="宋体" w:hAnsi="宋体" w:cs="宋体"/>
          <w:color w:val="000000"/>
          <w:sz w:val="24"/>
          <w:highlight w:val="none"/>
        </w:rPr>
        <w:t>的竞争地位产生不公正的影响。磋商小组认定响应文件是否响应招标文件的要求，只根据响应文件本身的内容，而不寻找外部的证据。</w:t>
      </w:r>
    </w:p>
    <w:p>
      <w:pPr>
        <w:pageBreakBefore w:val="0"/>
        <w:kinsoku/>
        <w:topLinePunct w:val="0"/>
        <w:bidi w:val="0"/>
        <w:spacing w:line="360" w:lineRule="auto"/>
        <w:ind w:firstLine="480" w:firstLineChars="200"/>
        <w:rPr>
          <w:rFonts w:hint="eastAsia" w:ascii="宋体" w:hAnsi="宋体" w:cs="宋体"/>
          <w:color w:val="000000"/>
          <w:sz w:val="24"/>
          <w:highlight w:val="none"/>
        </w:rPr>
      </w:pPr>
      <w:r>
        <w:rPr>
          <w:rFonts w:hint="eastAsia"/>
          <w:bCs/>
          <w:color w:val="000000"/>
          <w:sz w:val="24"/>
          <w:highlight w:val="none"/>
        </w:rPr>
        <w:t>1.4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供应商的澄清、说明或者更正应当由法定代表人或其授权代表签字或者加盖公章。由授权代表签字的，应当附法定代表人授权书。供应商为自然人的，应当由本人签字并附身份证明。</w:t>
      </w:r>
    </w:p>
    <w:p>
      <w:pPr>
        <w:pageBreakBefore w:val="0"/>
        <w:kinsoku/>
        <w:topLinePunct w:val="0"/>
        <w:bidi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1.5无效投标的认定</w:t>
      </w:r>
    </w:p>
    <w:p>
      <w:pPr>
        <w:pageBreakBefore w:val="0"/>
        <w:kinsoku/>
        <w:topLinePunct w:val="0"/>
        <w:bidi w:val="0"/>
        <w:spacing w:line="360" w:lineRule="auto"/>
        <w:ind w:firstLine="482" w:firstLineChars="200"/>
        <w:rPr>
          <w:rFonts w:hint="eastAsia" w:ascii="宋体" w:hAnsi="宋体" w:cs="宋体"/>
          <w:b/>
          <w:color w:val="000000"/>
          <w:sz w:val="24"/>
          <w:highlight w:val="none"/>
        </w:rPr>
      </w:pPr>
      <w:r>
        <w:rPr>
          <w:rFonts w:hint="eastAsia" w:ascii="宋体" w:hAnsi="宋体" w:cs="宋体"/>
          <w:b/>
          <w:color w:val="000000"/>
          <w:sz w:val="24"/>
          <w:highlight w:val="none"/>
        </w:rPr>
        <w:t>投标文件出现（但不限于）下列情况的将被认定为无效投标：</w:t>
      </w:r>
    </w:p>
    <w:p>
      <w:pPr>
        <w:pageBreakBefore w:val="0"/>
        <w:numPr>
          <w:ilvl w:val="0"/>
          <w:numId w:val="6"/>
        </w:numPr>
        <w:kinsoku/>
        <w:topLinePunct w:val="0"/>
        <w:bidi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lang w:eastAsia="zh-CN"/>
        </w:rPr>
        <w:t>供应商</w:t>
      </w:r>
      <w:r>
        <w:rPr>
          <w:rFonts w:hint="eastAsia" w:ascii="宋体" w:hAnsi="宋体" w:cs="宋体"/>
          <w:color w:val="000000"/>
          <w:sz w:val="24"/>
          <w:highlight w:val="none"/>
        </w:rPr>
        <w:t>未按要求提供营业执照等资格证明文件；</w:t>
      </w:r>
    </w:p>
    <w:p>
      <w:pPr>
        <w:pageBreakBefore w:val="0"/>
        <w:numPr>
          <w:ilvl w:val="0"/>
          <w:numId w:val="6"/>
        </w:numPr>
        <w:kinsoku/>
        <w:topLinePunct w:val="0"/>
        <w:bidi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lang w:eastAsia="zh-CN"/>
        </w:rPr>
        <w:t>供应商</w:t>
      </w:r>
      <w:r>
        <w:rPr>
          <w:rFonts w:hint="eastAsia" w:ascii="宋体" w:hAnsi="宋体" w:cs="宋体"/>
          <w:color w:val="000000"/>
          <w:sz w:val="24"/>
          <w:highlight w:val="none"/>
        </w:rPr>
        <w:t>未提交投标保证金或投标保证金金额不足；</w:t>
      </w:r>
    </w:p>
    <w:p>
      <w:pPr>
        <w:pageBreakBefore w:val="0"/>
        <w:numPr>
          <w:ilvl w:val="0"/>
          <w:numId w:val="6"/>
        </w:numPr>
        <w:kinsoku/>
        <w:topLinePunct w:val="0"/>
        <w:bidi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投标有效期不足；</w:t>
      </w:r>
    </w:p>
    <w:p>
      <w:pPr>
        <w:pageBreakBefore w:val="0"/>
        <w:numPr>
          <w:ilvl w:val="0"/>
          <w:numId w:val="6"/>
        </w:numPr>
        <w:kinsoku/>
        <w:topLinePunct w:val="0"/>
        <w:bidi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投标文件未按招标文件规定要求填写投标内容及签名盖章；</w:t>
      </w:r>
    </w:p>
    <w:p>
      <w:pPr>
        <w:pageBreakBefore w:val="0"/>
        <w:numPr>
          <w:ilvl w:val="0"/>
          <w:numId w:val="6"/>
        </w:numPr>
        <w:kinsoku/>
        <w:topLinePunct w:val="0"/>
        <w:bidi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投标报价超过了采购预算（最高限价），采购人不能支付的；</w:t>
      </w:r>
    </w:p>
    <w:p>
      <w:pPr>
        <w:pageBreakBefore w:val="0"/>
        <w:numPr>
          <w:ilvl w:val="0"/>
          <w:numId w:val="6"/>
        </w:numPr>
        <w:kinsoku/>
        <w:topLinePunct w:val="0"/>
        <w:bidi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kern w:val="0"/>
          <w:sz w:val="24"/>
          <w:szCs w:val="21"/>
          <w:highlight w:val="none"/>
        </w:rPr>
        <w:t>投标报价明显过低，可能低于其成本价，而</w:t>
      </w:r>
      <w:r>
        <w:rPr>
          <w:rFonts w:hint="eastAsia" w:ascii="宋体" w:hAnsi="宋体" w:cs="宋体"/>
          <w:color w:val="000000"/>
          <w:kern w:val="0"/>
          <w:sz w:val="24"/>
          <w:szCs w:val="21"/>
          <w:highlight w:val="none"/>
          <w:lang w:eastAsia="zh-CN"/>
        </w:rPr>
        <w:t>供应商</w:t>
      </w:r>
      <w:r>
        <w:rPr>
          <w:rFonts w:hint="eastAsia" w:ascii="宋体" w:hAnsi="宋体" w:cs="宋体"/>
          <w:color w:val="000000"/>
          <w:kern w:val="0"/>
          <w:sz w:val="24"/>
          <w:szCs w:val="21"/>
          <w:highlight w:val="none"/>
        </w:rPr>
        <w:t>不能作出合理的说明；</w:t>
      </w:r>
    </w:p>
    <w:p>
      <w:pPr>
        <w:pageBreakBefore w:val="0"/>
        <w:numPr>
          <w:ilvl w:val="0"/>
          <w:numId w:val="6"/>
        </w:numPr>
        <w:kinsoku/>
        <w:topLinePunct w:val="0"/>
        <w:bidi w:val="0"/>
        <w:spacing w:line="360" w:lineRule="auto"/>
        <w:ind w:firstLine="480" w:firstLineChars="200"/>
        <w:rPr>
          <w:rFonts w:hint="eastAsia"/>
          <w:bCs/>
          <w:color w:val="000000"/>
          <w:sz w:val="24"/>
          <w:highlight w:val="none"/>
        </w:rPr>
      </w:pPr>
      <w:r>
        <w:rPr>
          <w:rFonts w:hint="eastAsia" w:ascii="宋体" w:hAnsi="宋体" w:cs="宋体"/>
          <w:color w:val="000000"/>
          <w:sz w:val="24"/>
          <w:highlight w:val="none"/>
        </w:rPr>
        <w:t>评审委员会认为投标未实质性响应招标文件要求的。</w:t>
      </w:r>
    </w:p>
    <w:p>
      <w:pPr>
        <w:pageBreakBefore w:val="0"/>
        <w:kinsoku/>
        <w:topLinePunct w:val="0"/>
        <w:bidi w:val="0"/>
        <w:spacing w:line="360" w:lineRule="auto"/>
        <w:ind w:firstLine="482" w:firstLineChars="200"/>
        <w:rPr>
          <w:rFonts w:hint="eastAsia"/>
          <w:b/>
          <w:color w:val="000000"/>
          <w:sz w:val="24"/>
          <w:highlight w:val="none"/>
        </w:rPr>
      </w:pPr>
      <w:r>
        <w:rPr>
          <w:rFonts w:hint="eastAsia"/>
          <w:b/>
          <w:color w:val="000000"/>
          <w:sz w:val="24"/>
          <w:highlight w:val="none"/>
        </w:rPr>
        <w:t>2、分别与单一供应商进行磋商</w:t>
      </w:r>
    </w:p>
    <w:p>
      <w:pPr>
        <w:pageBreakBefore w:val="0"/>
        <w:kinsoku/>
        <w:topLinePunct w:val="0"/>
        <w:bidi w:val="0"/>
        <w:spacing w:line="360" w:lineRule="auto"/>
        <w:ind w:firstLine="480" w:firstLineChars="200"/>
        <w:rPr>
          <w:rFonts w:hint="eastAsia"/>
          <w:bCs/>
          <w:color w:val="000000"/>
          <w:sz w:val="24"/>
          <w:highlight w:val="none"/>
        </w:rPr>
      </w:pPr>
      <w:r>
        <w:rPr>
          <w:rFonts w:hint="eastAsia"/>
          <w:bCs/>
          <w:color w:val="000000"/>
          <w:sz w:val="24"/>
          <w:highlight w:val="none"/>
        </w:rPr>
        <w:t>2.1 磋商小组所有成员应当集中与单一供应商分别进行磋商，并给予所有参加磋商的供应商平等的磋商机会。</w:t>
      </w:r>
    </w:p>
    <w:p>
      <w:pPr>
        <w:pageBreakBefore w:val="0"/>
        <w:kinsoku/>
        <w:topLinePunct w:val="0"/>
        <w:bidi w:val="0"/>
        <w:spacing w:line="360" w:lineRule="auto"/>
        <w:ind w:firstLine="480" w:firstLineChars="200"/>
        <w:rPr>
          <w:rFonts w:hint="eastAsia"/>
          <w:bCs/>
          <w:color w:val="000000"/>
          <w:sz w:val="24"/>
          <w:highlight w:val="none"/>
        </w:rPr>
      </w:pPr>
      <w:r>
        <w:rPr>
          <w:rFonts w:hint="eastAsia"/>
          <w:bCs/>
          <w:color w:val="000000"/>
          <w:sz w:val="24"/>
          <w:highlight w:val="none"/>
        </w:rPr>
        <w:t>2.2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ageBreakBefore w:val="0"/>
        <w:kinsoku/>
        <w:topLinePunct w:val="0"/>
        <w:bidi w:val="0"/>
        <w:spacing w:line="360" w:lineRule="auto"/>
        <w:ind w:firstLine="482" w:firstLineChars="200"/>
        <w:rPr>
          <w:rFonts w:hint="eastAsia"/>
          <w:b/>
          <w:color w:val="000000"/>
          <w:sz w:val="24"/>
          <w:highlight w:val="none"/>
        </w:rPr>
      </w:pPr>
      <w:r>
        <w:rPr>
          <w:rFonts w:hint="eastAsia"/>
          <w:b/>
          <w:color w:val="000000"/>
          <w:sz w:val="24"/>
          <w:highlight w:val="none"/>
        </w:rPr>
        <w:t>3、供应商提交最后报价</w:t>
      </w:r>
    </w:p>
    <w:p>
      <w:pPr>
        <w:pageBreakBefore w:val="0"/>
        <w:kinsoku/>
        <w:topLinePunct w:val="0"/>
        <w:bidi w:val="0"/>
        <w:spacing w:line="360" w:lineRule="auto"/>
        <w:ind w:firstLine="480" w:firstLineChars="200"/>
        <w:rPr>
          <w:rFonts w:hint="eastAsia"/>
          <w:bCs/>
          <w:color w:val="000000"/>
          <w:sz w:val="24"/>
          <w:highlight w:val="none"/>
        </w:rPr>
      </w:pPr>
      <w:r>
        <w:rPr>
          <w:rFonts w:hint="eastAsia"/>
          <w:bCs/>
          <w:color w:val="000000"/>
          <w:sz w:val="24"/>
          <w:highlight w:val="none"/>
        </w:rPr>
        <w:t>3.1 磋商文件能够详细列明采购标的的技术、服务要求的，磋商结束后，磋商小组应当要求所有实质性响应的供应商在规定时间内提交最后报价，提交最后报价的供应商不得少于3家。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最后报价是供应商响应文件的有效组成部分。</w:t>
      </w:r>
    </w:p>
    <w:p>
      <w:pPr>
        <w:pageBreakBefore w:val="0"/>
        <w:kinsoku/>
        <w:topLinePunct w:val="0"/>
        <w:bidi w:val="0"/>
        <w:spacing w:line="360" w:lineRule="auto"/>
        <w:ind w:firstLine="480" w:firstLineChars="200"/>
        <w:rPr>
          <w:rFonts w:hint="eastAsia"/>
          <w:bCs/>
          <w:color w:val="000000"/>
          <w:sz w:val="24"/>
          <w:highlight w:val="none"/>
        </w:rPr>
      </w:pPr>
      <w:r>
        <w:rPr>
          <w:rFonts w:hint="eastAsia"/>
          <w:bCs/>
          <w:color w:val="000000"/>
          <w:sz w:val="24"/>
          <w:highlight w:val="none"/>
        </w:rPr>
        <w:t>3.2 已提交响应文件的供应商，在提交最后报价之前，可以根据磋商情况退出磋商。采购人、采购代理机构应当退还退出磋商的供应商的磋商保证金。</w:t>
      </w:r>
    </w:p>
    <w:p>
      <w:pPr>
        <w:pageBreakBefore w:val="0"/>
        <w:kinsoku/>
        <w:topLinePunct w:val="0"/>
        <w:bidi w:val="0"/>
        <w:spacing w:line="360" w:lineRule="auto"/>
        <w:ind w:firstLine="482" w:firstLineChars="200"/>
        <w:rPr>
          <w:rFonts w:hint="eastAsia"/>
          <w:b/>
          <w:color w:val="000000"/>
          <w:sz w:val="24"/>
          <w:highlight w:val="none"/>
        </w:rPr>
      </w:pPr>
      <w:r>
        <w:rPr>
          <w:rFonts w:hint="eastAsia"/>
          <w:b/>
          <w:color w:val="000000"/>
          <w:sz w:val="24"/>
          <w:highlight w:val="none"/>
        </w:rPr>
        <w:t>4、综合评分（见附件2）</w:t>
      </w:r>
    </w:p>
    <w:p>
      <w:pPr>
        <w:pageBreakBefore w:val="0"/>
        <w:kinsoku/>
        <w:topLinePunct w:val="0"/>
        <w:bidi w:val="0"/>
        <w:spacing w:line="360" w:lineRule="auto"/>
        <w:ind w:firstLine="480" w:firstLineChars="200"/>
        <w:rPr>
          <w:rFonts w:hint="eastAsia"/>
          <w:bCs/>
          <w:color w:val="000000"/>
          <w:sz w:val="24"/>
          <w:highlight w:val="none"/>
        </w:rPr>
      </w:pPr>
      <w:r>
        <w:rPr>
          <w:rFonts w:hint="eastAsia"/>
          <w:bCs/>
          <w:color w:val="000000"/>
          <w:sz w:val="24"/>
          <w:highlight w:val="none"/>
        </w:rPr>
        <w:t>4.1 经磋商确定最终采购需求和提交最后报价的供应商后，由磋商小组采用综合评分法对提交最后报价的供应商的响应文件和最后报价进行综合评分。</w:t>
      </w:r>
    </w:p>
    <w:p>
      <w:pPr>
        <w:pageBreakBefore w:val="0"/>
        <w:kinsoku/>
        <w:topLinePunct w:val="0"/>
        <w:bidi w:val="0"/>
        <w:spacing w:line="360" w:lineRule="auto"/>
        <w:ind w:firstLine="480" w:firstLineChars="200"/>
        <w:rPr>
          <w:rFonts w:hint="eastAsia"/>
          <w:bCs/>
          <w:color w:val="000000"/>
          <w:sz w:val="24"/>
          <w:highlight w:val="none"/>
        </w:rPr>
      </w:pPr>
      <w:r>
        <w:rPr>
          <w:rFonts w:hint="eastAsia"/>
          <w:bCs/>
          <w:color w:val="000000"/>
          <w:sz w:val="24"/>
          <w:highlight w:val="none"/>
        </w:rPr>
        <w:t>综合评分法，是指响应文件满足磋商文件全部实质性要求且按评审因素的量化指标评审得分最高的供应商为排名第一的成交候选人的评审方法。</w:t>
      </w:r>
    </w:p>
    <w:p>
      <w:pPr>
        <w:pageBreakBefore w:val="0"/>
        <w:kinsoku/>
        <w:topLinePunct w:val="0"/>
        <w:bidi w:val="0"/>
        <w:spacing w:line="360" w:lineRule="auto"/>
        <w:ind w:firstLine="480" w:firstLineChars="200"/>
        <w:rPr>
          <w:rFonts w:hint="eastAsia"/>
          <w:bCs/>
          <w:color w:val="000000"/>
          <w:sz w:val="24"/>
          <w:highlight w:val="none"/>
        </w:rPr>
      </w:pPr>
      <w:r>
        <w:rPr>
          <w:rFonts w:hint="eastAsia"/>
          <w:bCs/>
          <w:color w:val="000000"/>
          <w:sz w:val="24"/>
          <w:highlight w:val="none"/>
        </w:rPr>
        <w:t>4.2 综合评分法评审标准中的分值设置应当与评审因素的量化指标相对应。磋商文件中没有规定的评审标准不得作为评审依据。</w:t>
      </w:r>
    </w:p>
    <w:p>
      <w:pPr>
        <w:pageBreakBefore w:val="0"/>
        <w:kinsoku/>
        <w:topLinePunct w:val="0"/>
        <w:bidi w:val="0"/>
        <w:spacing w:line="360" w:lineRule="auto"/>
        <w:ind w:firstLine="480" w:firstLineChars="200"/>
        <w:rPr>
          <w:rFonts w:hint="eastAsia"/>
          <w:bCs/>
          <w:color w:val="000000"/>
          <w:sz w:val="24"/>
          <w:highlight w:val="none"/>
        </w:rPr>
      </w:pPr>
      <w:r>
        <w:rPr>
          <w:rFonts w:hint="eastAsia"/>
          <w:bCs/>
          <w:color w:val="000000"/>
          <w:sz w:val="24"/>
          <w:highlight w:val="none"/>
        </w:rPr>
        <w:t>评审时，磋商小组各成员应当独立对每个有效响应的文件进行评价、打分，然后汇总每个供应商每项评分因素的得分。评标过程中，不得去掉报价中的最高报价和最低报价。</w:t>
      </w:r>
    </w:p>
    <w:p>
      <w:pPr>
        <w:pageBreakBefore w:val="0"/>
        <w:kinsoku/>
        <w:topLinePunct w:val="0"/>
        <w:bidi w:val="0"/>
        <w:spacing w:line="360" w:lineRule="auto"/>
        <w:ind w:firstLine="482" w:firstLineChars="200"/>
        <w:rPr>
          <w:rFonts w:hint="eastAsia"/>
          <w:b/>
          <w:color w:val="000000"/>
          <w:sz w:val="24"/>
          <w:highlight w:val="none"/>
        </w:rPr>
      </w:pPr>
      <w:r>
        <w:rPr>
          <w:rFonts w:hint="eastAsia"/>
          <w:b/>
          <w:color w:val="000000"/>
          <w:sz w:val="24"/>
          <w:highlight w:val="none"/>
        </w:rPr>
        <w:t>5、其他说明</w:t>
      </w:r>
    </w:p>
    <w:p>
      <w:pPr>
        <w:pageBreakBefore w:val="0"/>
        <w:kinsoku/>
        <w:topLinePunct w:val="0"/>
        <w:bidi w:val="0"/>
        <w:spacing w:line="360" w:lineRule="auto"/>
        <w:ind w:firstLine="480" w:firstLineChars="200"/>
        <w:rPr>
          <w:rFonts w:hint="eastAsia"/>
          <w:b/>
          <w:color w:val="000000"/>
          <w:sz w:val="24"/>
          <w:highlight w:val="none"/>
        </w:rPr>
      </w:pPr>
      <w:r>
        <w:rPr>
          <w:rFonts w:hint="eastAsia"/>
          <w:bCs/>
          <w:color w:val="000000"/>
          <w:sz w:val="24"/>
          <w:highlight w:val="none"/>
        </w:rPr>
        <w:t>5.1根据《关于印发中小企业划型标准规定的通知》（工信部联企业〔2011〕300号）和《政府采购促进中小企业发展暂行办法》（财库〔2011〕181号）的规定，本项目对小型和微型企业产品的价格给予</w:t>
      </w:r>
      <w:r>
        <w:rPr>
          <w:rFonts w:hint="eastAsia"/>
          <w:bCs/>
          <w:color w:val="000000"/>
          <w:sz w:val="24"/>
          <w:highlight w:val="none"/>
          <w:lang w:val="en-US" w:eastAsia="zh-CN"/>
        </w:rPr>
        <w:t>5</w:t>
      </w:r>
      <w:r>
        <w:rPr>
          <w:rFonts w:hint="eastAsia"/>
          <w:bCs/>
          <w:color w:val="000000"/>
          <w:sz w:val="24"/>
          <w:highlight w:val="none"/>
        </w:rPr>
        <w:t>%的扣除，</w:t>
      </w:r>
      <w:r>
        <w:rPr>
          <w:rFonts w:hint="eastAsia"/>
          <w:b/>
          <w:color w:val="000000"/>
          <w:sz w:val="24"/>
          <w:highlight w:val="none"/>
        </w:rPr>
        <w:t>用扣除后的价格参与价格评审</w:t>
      </w:r>
      <w:r>
        <w:rPr>
          <w:rFonts w:hint="eastAsia"/>
          <w:bCs/>
          <w:color w:val="000000"/>
          <w:sz w:val="24"/>
          <w:highlight w:val="none"/>
        </w:rPr>
        <w:t>。</w:t>
      </w:r>
      <w:r>
        <w:rPr>
          <w:rFonts w:hint="eastAsia"/>
          <w:bCs/>
          <w:color w:val="000000"/>
          <w:spacing w:val="-6"/>
          <w:sz w:val="24"/>
          <w:highlight w:val="none"/>
        </w:rPr>
        <w:t>扣除后的价格仅用来计算价格得分，中标金额以</w:t>
      </w:r>
      <w:r>
        <w:rPr>
          <w:rFonts w:hint="eastAsia"/>
          <w:b/>
          <w:color w:val="000000"/>
          <w:spacing w:val="-6"/>
          <w:sz w:val="24"/>
          <w:highlight w:val="none"/>
        </w:rPr>
        <w:t>最后报价</w:t>
      </w:r>
      <w:r>
        <w:rPr>
          <w:rFonts w:hint="eastAsia"/>
          <w:bCs/>
          <w:color w:val="000000"/>
          <w:spacing w:val="-6"/>
          <w:sz w:val="24"/>
          <w:highlight w:val="none"/>
        </w:rPr>
        <w:t>为准。供应商为小型和微型的，必须在《报价一览表》中注明，</w:t>
      </w:r>
      <w:r>
        <w:rPr>
          <w:rFonts w:hint="eastAsia"/>
          <w:b/>
          <w:color w:val="000000"/>
          <w:spacing w:val="-6"/>
          <w:sz w:val="24"/>
          <w:highlight w:val="none"/>
        </w:rPr>
        <w:t>并附有效证明文件</w:t>
      </w:r>
      <w:r>
        <w:rPr>
          <w:rFonts w:hint="eastAsia"/>
          <w:bCs/>
          <w:color w:val="000000"/>
          <w:spacing w:val="-6"/>
          <w:sz w:val="24"/>
          <w:highlight w:val="none"/>
        </w:rPr>
        <w:t>，否则将不进行价格扣除。</w:t>
      </w:r>
      <w:r>
        <w:rPr>
          <w:rFonts w:hint="eastAsia"/>
          <w:b/>
          <w:color w:val="000000"/>
          <w:sz w:val="24"/>
          <w:highlight w:val="none"/>
        </w:rPr>
        <w:t>小型、微型企业提供中型企业制造的货物的，视同为中型企业。</w:t>
      </w:r>
    </w:p>
    <w:p>
      <w:pPr>
        <w:pageBreakBefore w:val="0"/>
        <w:kinsoku/>
        <w:topLinePunct w:val="0"/>
        <w:bidi w:val="0"/>
        <w:spacing w:line="360" w:lineRule="auto"/>
        <w:ind w:firstLine="480" w:firstLineChars="200"/>
        <w:rPr>
          <w:rFonts w:hint="eastAsia"/>
          <w:bCs/>
          <w:color w:val="000000"/>
          <w:sz w:val="24"/>
          <w:highlight w:val="none"/>
        </w:rPr>
      </w:pPr>
      <w:r>
        <w:rPr>
          <w:rFonts w:hint="eastAsia"/>
          <w:bCs/>
          <w:color w:val="000000"/>
          <w:sz w:val="24"/>
          <w:highlight w:val="none"/>
        </w:rPr>
        <w:t>5.2根据关于印发《节能产品政府采购实施意见》财库[2004]185号）文件通知的规定，本项目鼓励提供节能产品。</w:t>
      </w:r>
      <w:r>
        <w:rPr>
          <w:rFonts w:hint="eastAsia"/>
          <w:bCs/>
          <w:color w:val="000000"/>
          <w:sz w:val="24"/>
          <w:highlight w:val="none"/>
          <w:lang w:eastAsia="zh-CN"/>
        </w:rPr>
        <w:t>供应商</w:t>
      </w:r>
      <w:r>
        <w:rPr>
          <w:rFonts w:hint="eastAsia"/>
          <w:bCs/>
          <w:color w:val="000000"/>
          <w:sz w:val="24"/>
          <w:highlight w:val="none"/>
        </w:rPr>
        <w:t>提供的产品在当期“节能产品政府采购清单”内的（须提供节能产品有效证明文件），按1%的优惠折算后计算投标报价得分。</w:t>
      </w:r>
    </w:p>
    <w:p>
      <w:pPr>
        <w:pageBreakBefore w:val="0"/>
        <w:kinsoku/>
        <w:topLinePunct w:val="0"/>
        <w:bidi w:val="0"/>
        <w:spacing w:line="360" w:lineRule="auto"/>
        <w:ind w:firstLine="480" w:firstLineChars="200"/>
        <w:rPr>
          <w:rFonts w:hint="eastAsia"/>
          <w:bCs/>
          <w:color w:val="000000"/>
          <w:sz w:val="24"/>
          <w:highlight w:val="none"/>
        </w:rPr>
      </w:pPr>
      <w:r>
        <w:rPr>
          <w:rFonts w:hint="eastAsia"/>
          <w:bCs/>
          <w:color w:val="000000"/>
          <w:sz w:val="24"/>
          <w:highlight w:val="none"/>
        </w:rPr>
        <w:t>5.3本项目鼓励优先采购环境标志产品。</w:t>
      </w:r>
    </w:p>
    <w:p>
      <w:pPr>
        <w:pageBreakBefore w:val="0"/>
        <w:kinsoku/>
        <w:topLinePunct w:val="0"/>
        <w:bidi w:val="0"/>
        <w:spacing w:line="360" w:lineRule="auto"/>
        <w:ind w:firstLine="480" w:firstLineChars="200"/>
        <w:rPr>
          <w:rFonts w:hint="eastAsia"/>
          <w:bCs/>
          <w:color w:val="000000"/>
          <w:sz w:val="24"/>
          <w:highlight w:val="none"/>
        </w:rPr>
      </w:pPr>
      <w:r>
        <w:rPr>
          <w:rFonts w:hint="eastAsia"/>
          <w:bCs/>
          <w:color w:val="000000"/>
          <w:sz w:val="24"/>
          <w:highlight w:val="none"/>
        </w:rPr>
        <w:t>5.4支持监狱企业发展。</w:t>
      </w:r>
    </w:p>
    <w:p>
      <w:pPr>
        <w:pageBreakBefore w:val="0"/>
        <w:kinsoku/>
        <w:topLinePunct w:val="0"/>
        <w:bidi w:val="0"/>
        <w:spacing w:line="360" w:lineRule="auto"/>
        <w:ind w:firstLine="480" w:firstLineChars="200"/>
        <w:rPr>
          <w:rFonts w:hint="eastAsia"/>
          <w:bCs/>
          <w:color w:val="000000"/>
          <w:sz w:val="24"/>
          <w:highlight w:val="none"/>
        </w:rPr>
      </w:pPr>
      <w:r>
        <w:rPr>
          <w:rFonts w:hint="eastAsia"/>
          <w:bCs/>
          <w:color w:val="000000"/>
          <w:sz w:val="24"/>
          <w:highlight w:val="none"/>
        </w:rPr>
        <w:t>5.5</w:t>
      </w:r>
      <w:r>
        <w:rPr>
          <w:rFonts w:hint="eastAsia" w:ascii="宋体" w:hAnsi="宋体" w:cs="宋体"/>
          <w:color w:val="000000"/>
          <w:sz w:val="24"/>
          <w:highlight w:val="none"/>
        </w:rPr>
        <w:t>根据《财政部 民政部 中国残疾人联合会关促进残疾人就业政府采购的通知》（财库〔2017〕141号）的规定</w:t>
      </w:r>
      <w:r>
        <w:rPr>
          <w:rFonts w:hint="eastAsia"/>
          <w:bCs/>
          <w:color w:val="000000"/>
          <w:sz w:val="24"/>
          <w:highlight w:val="none"/>
        </w:rPr>
        <w:t>，本项目对残疾人福利性单位的价格给予</w:t>
      </w:r>
      <w:r>
        <w:rPr>
          <w:rFonts w:hint="eastAsia"/>
          <w:bCs/>
          <w:color w:val="000000"/>
          <w:sz w:val="24"/>
          <w:highlight w:val="none"/>
          <w:lang w:val="en-US" w:eastAsia="zh-CN"/>
        </w:rPr>
        <w:t>5</w:t>
      </w:r>
      <w:r>
        <w:rPr>
          <w:rFonts w:hint="eastAsia"/>
          <w:bCs/>
          <w:color w:val="000000"/>
          <w:sz w:val="24"/>
          <w:highlight w:val="none"/>
        </w:rPr>
        <w:t>%的扣除，</w:t>
      </w:r>
      <w:r>
        <w:rPr>
          <w:rFonts w:hint="eastAsia"/>
          <w:b/>
          <w:color w:val="000000"/>
          <w:sz w:val="24"/>
          <w:highlight w:val="none"/>
        </w:rPr>
        <w:t>用扣除后的价格参与价格评审</w:t>
      </w:r>
      <w:r>
        <w:rPr>
          <w:rFonts w:hint="eastAsia"/>
          <w:bCs/>
          <w:color w:val="000000"/>
          <w:sz w:val="24"/>
          <w:highlight w:val="none"/>
        </w:rPr>
        <w:t>。</w:t>
      </w:r>
      <w:r>
        <w:rPr>
          <w:rFonts w:hint="eastAsia"/>
          <w:bCs/>
          <w:color w:val="000000"/>
          <w:spacing w:val="-6"/>
          <w:sz w:val="24"/>
          <w:highlight w:val="none"/>
        </w:rPr>
        <w:t>扣除后的价格仅用来计算价格得分，中标金额以</w:t>
      </w:r>
      <w:r>
        <w:rPr>
          <w:rFonts w:hint="eastAsia"/>
          <w:b/>
          <w:color w:val="000000"/>
          <w:spacing w:val="-6"/>
          <w:sz w:val="24"/>
          <w:highlight w:val="none"/>
        </w:rPr>
        <w:t>最后报价</w:t>
      </w:r>
      <w:r>
        <w:rPr>
          <w:rFonts w:hint="eastAsia"/>
          <w:bCs/>
          <w:color w:val="000000"/>
          <w:spacing w:val="-6"/>
          <w:sz w:val="24"/>
          <w:highlight w:val="none"/>
        </w:rPr>
        <w:t>为准。供应商为</w:t>
      </w:r>
      <w:r>
        <w:rPr>
          <w:rFonts w:hint="eastAsia"/>
          <w:bCs/>
          <w:color w:val="000000"/>
          <w:sz w:val="24"/>
          <w:highlight w:val="none"/>
        </w:rPr>
        <w:t>残疾人福利性单位</w:t>
      </w:r>
      <w:r>
        <w:rPr>
          <w:rFonts w:hint="eastAsia"/>
          <w:bCs/>
          <w:color w:val="000000"/>
          <w:spacing w:val="-6"/>
          <w:sz w:val="24"/>
          <w:highlight w:val="none"/>
        </w:rPr>
        <w:t>的，必须在《报价一览表》中注明，</w:t>
      </w:r>
      <w:r>
        <w:rPr>
          <w:rFonts w:hint="eastAsia"/>
          <w:b/>
          <w:color w:val="000000"/>
          <w:spacing w:val="-6"/>
          <w:sz w:val="24"/>
          <w:highlight w:val="none"/>
        </w:rPr>
        <w:t>并附有效证明文件</w:t>
      </w:r>
      <w:r>
        <w:rPr>
          <w:rFonts w:hint="eastAsia"/>
          <w:bCs/>
          <w:color w:val="000000"/>
          <w:spacing w:val="-6"/>
          <w:sz w:val="24"/>
          <w:highlight w:val="none"/>
        </w:rPr>
        <w:t>，否则将不进行价格扣除。</w:t>
      </w:r>
      <w:r>
        <w:rPr>
          <w:rFonts w:hint="eastAsia"/>
          <w:b/>
          <w:color w:val="000000"/>
          <w:spacing w:val="-6"/>
          <w:sz w:val="24"/>
          <w:highlight w:val="none"/>
        </w:rPr>
        <w:t>残疾人福利性单位属于</w:t>
      </w:r>
      <w:r>
        <w:rPr>
          <w:rFonts w:hint="eastAsia"/>
          <w:b/>
          <w:color w:val="000000"/>
          <w:sz w:val="24"/>
          <w:highlight w:val="none"/>
        </w:rPr>
        <w:t>小型、微型企业的，不重复享受政策。</w:t>
      </w:r>
    </w:p>
    <w:p>
      <w:pPr>
        <w:pageBreakBefore w:val="0"/>
        <w:kinsoku/>
        <w:topLinePunct w:val="0"/>
        <w:bidi w:val="0"/>
        <w:spacing w:line="360" w:lineRule="auto"/>
        <w:ind w:firstLine="482" w:firstLineChars="200"/>
        <w:rPr>
          <w:rFonts w:hint="eastAsia"/>
          <w:b/>
          <w:color w:val="000000"/>
          <w:sz w:val="24"/>
          <w:highlight w:val="none"/>
        </w:rPr>
      </w:pPr>
      <w:r>
        <w:rPr>
          <w:rFonts w:hint="eastAsia"/>
          <w:b/>
          <w:color w:val="000000"/>
          <w:sz w:val="24"/>
          <w:highlight w:val="none"/>
        </w:rPr>
        <w:t>6、推荐成交候选供应商</w:t>
      </w:r>
    </w:p>
    <w:p>
      <w:pPr>
        <w:pageBreakBefore w:val="0"/>
        <w:kinsoku/>
        <w:topLinePunct w:val="0"/>
        <w:bidi w:val="0"/>
        <w:spacing w:line="360" w:lineRule="auto"/>
        <w:ind w:firstLine="480" w:firstLineChars="200"/>
        <w:rPr>
          <w:rFonts w:hint="eastAsia"/>
          <w:bCs/>
          <w:color w:val="000000"/>
          <w:sz w:val="24"/>
          <w:highlight w:val="none"/>
        </w:rPr>
      </w:pPr>
      <w:r>
        <w:rPr>
          <w:rFonts w:hint="eastAsia"/>
          <w:bCs/>
          <w:color w:val="000000"/>
          <w:sz w:val="24"/>
          <w:highlight w:val="none"/>
        </w:rPr>
        <w:t>6.1 磋商小组根据综合评分情况，按照评审得分由高到低顺序推荐3名以上成交候选供应商，并编写评审报告。</w:t>
      </w:r>
    </w:p>
    <w:p>
      <w:pPr>
        <w:pageBreakBefore w:val="0"/>
        <w:kinsoku/>
        <w:topLinePunct w:val="0"/>
        <w:bidi w:val="0"/>
        <w:spacing w:line="360" w:lineRule="auto"/>
        <w:ind w:firstLine="480" w:firstLineChars="200"/>
        <w:rPr>
          <w:rFonts w:hint="eastAsia"/>
          <w:bCs/>
          <w:color w:val="000000"/>
          <w:sz w:val="24"/>
          <w:highlight w:val="none"/>
        </w:rPr>
      </w:pPr>
      <w:r>
        <w:rPr>
          <w:rFonts w:hint="eastAsia"/>
          <w:bCs/>
          <w:color w:val="000000"/>
          <w:sz w:val="24"/>
          <w:highlight w:val="none"/>
        </w:rPr>
        <w:t>6.2符合《政府采购竞争性磋商采购方式管理暂行办法》第二十一条第三款情形的，可以推荐</w:t>
      </w:r>
      <w:r>
        <w:rPr>
          <w:rFonts w:hint="eastAsia"/>
          <w:bCs/>
          <w:color w:val="000000"/>
          <w:sz w:val="24"/>
          <w:highlight w:val="none"/>
          <w:lang w:val="en-US" w:eastAsia="zh-CN"/>
        </w:rPr>
        <w:t>3</w:t>
      </w:r>
      <w:r>
        <w:rPr>
          <w:rFonts w:hint="eastAsia"/>
          <w:bCs/>
          <w:color w:val="000000"/>
          <w:sz w:val="24"/>
          <w:highlight w:val="none"/>
        </w:rPr>
        <w:t>家成交候选</w:t>
      </w:r>
      <w:r>
        <w:rPr>
          <w:rFonts w:hint="eastAsia"/>
          <w:bCs/>
          <w:color w:val="000000"/>
          <w:sz w:val="24"/>
          <w:highlight w:val="none"/>
          <w:lang w:eastAsia="zh-CN"/>
        </w:rPr>
        <w:t>供应商</w:t>
      </w:r>
      <w:r>
        <w:rPr>
          <w:rFonts w:hint="eastAsia"/>
          <w:bCs/>
          <w:color w:val="000000"/>
          <w:sz w:val="24"/>
          <w:highlight w:val="none"/>
        </w:rPr>
        <w:t>。评审得分相同的，按照最后报价由低到高的顺序推荐。评审得分且最后报价相同的并列。</w:t>
      </w:r>
    </w:p>
    <w:p>
      <w:pPr>
        <w:pageBreakBefore w:val="0"/>
        <w:kinsoku/>
        <w:topLinePunct w:val="0"/>
        <w:bidi w:val="0"/>
        <w:spacing w:line="360" w:lineRule="auto"/>
        <w:ind w:firstLine="482" w:firstLineChars="200"/>
        <w:rPr>
          <w:rFonts w:hint="eastAsia"/>
          <w:b/>
          <w:color w:val="000000"/>
          <w:sz w:val="24"/>
          <w:highlight w:val="none"/>
        </w:rPr>
      </w:pPr>
      <w:r>
        <w:rPr>
          <w:rFonts w:hint="eastAsia"/>
          <w:b/>
          <w:color w:val="000000"/>
          <w:sz w:val="24"/>
          <w:highlight w:val="none"/>
        </w:rPr>
        <w:t>7、编写评审报告</w:t>
      </w:r>
    </w:p>
    <w:p>
      <w:pPr>
        <w:pageBreakBefore w:val="0"/>
        <w:kinsoku/>
        <w:topLinePunct w:val="0"/>
        <w:bidi w:val="0"/>
        <w:spacing w:line="360" w:lineRule="auto"/>
        <w:ind w:firstLine="480" w:firstLineChars="200"/>
        <w:rPr>
          <w:rFonts w:hint="eastAsia"/>
          <w:bCs/>
          <w:color w:val="000000"/>
          <w:sz w:val="24"/>
          <w:highlight w:val="none"/>
        </w:rPr>
      </w:pPr>
      <w:r>
        <w:rPr>
          <w:rFonts w:hint="eastAsia"/>
          <w:bCs/>
          <w:color w:val="000000"/>
          <w:sz w:val="24"/>
          <w:highlight w:val="none"/>
        </w:rPr>
        <w:t>评审报告应当包括以下主要内容：</w:t>
      </w:r>
    </w:p>
    <w:p>
      <w:pPr>
        <w:pStyle w:val="17"/>
        <w:pageBreakBefore w:val="0"/>
        <w:widowControl/>
        <w:kinsoku/>
        <w:topLinePunct w:val="0"/>
        <w:bidi w:val="0"/>
        <w:spacing w:line="360" w:lineRule="auto"/>
        <w:ind w:firstLine="420"/>
        <w:rPr>
          <w:rFonts w:hint="eastAsia"/>
          <w:bCs/>
          <w:color w:val="000000"/>
          <w:kern w:val="2"/>
          <w:highlight w:val="none"/>
        </w:rPr>
      </w:pPr>
      <w:r>
        <w:rPr>
          <w:rFonts w:hint="eastAsia"/>
          <w:bCs/>
          <w:color w:val="000000"/>
          <w:kern w:val="2"/>
          <w:highlight w:val="none"/>
        </w:rPr>
        <w:t>(一)招标公告刊登的媒体名称、开标日期和地点;</w:t>
      </w:r>
    </w:p>
    <w:p>
      <w:pPr>
        <w:pStyle w:val="17"/>
        <w:pageBreakBefore w:val="0"/>
        <w:widowControl/>
        <w:kinsoku/>
        <w:topLinePunct w:val="0"/>
        <w:bidi w:val="0"/>
        <w:spacing w:line="360" w:lineRule="auto"/>
        <w:ind w:firstLine="420"/>
        <w:rPr>
          <w:rFonts w:hint="eastAsia"/>
          <w:bCs/>
          <w:color w:val="000000"/>
          <w:kern w:val="2"/>
          <w:highlight w:val="none"/>
        </w:rPr>
      </w:pPr>
      <w:r>
        <w:rPr>
          <w:rFonts w:hint="eastAsia"/>
          <w:bCs/>
          <w:color w:val="000000"/>
          <w:kern w:val="2"/>
          <w:highlight w:val="none"/>
        </w:rPr>
        <w:t>(二)获取磋商文件的</w:t>
      </w:r>
      <w:r>
        <w:rPr>
          <w:rFonts w:hint="eastAsia"/>
          <w:bCs/>
          <w:color w:val="000000"/>
          <w:kern w:val="2"/>
          <w:highlight w:val="none"/>
          <w:lang w:eastAsia="zh-CN"/>
        </w:rPr>
        <w:t>供应商</w:t>
      </w:r>
      <w:r>
        <w:rPr>
          <w:rFonts w:hint="eastAsia"/>
          <w:bCs/>
          <w:color w:val="000000"/>
          <w:kern w:val="2"/>
          <w:highlight w:val="none"/>
        </w:rPr>
        <w:t>名单和磋商小组成员名单；</w:t>
      </w:r>
    </w:p>
    <w:p>
      <w:pPr>
        <w:pStyle w:val="17"/>
        <w:pageBreakBefore w:val="0"/>
        <w:widowControl/>
        <w:kinsoku/>
        <w:topLinePunct w:val="0"/>
        <w:bidi w:val="0"/>
        <w:spacing w:line="360" w:lineRule="auto"/>
        <w:ind w:firstLine="420"/>
        <w:rPr>
          <w:rFonts w:hint="eastAsia"/>
          <w:bCs/>
          <w:color w:val="000000"/>
          <w:kern w:val="2"/>
          <w:highlight w:val="none"/>
        </w:rPr>
      </w:pPr>
      <w:r>
        <w:rPr>
          <w:rFonts w:hint="eastAsia"/>
          <w:bCs/>
          <w:color w:val="000000"/>
          <w:kern w:val="2"/>
          <w:highlight w:val="none"/>
        </w:rPr>
        <w:t>(三)评标方法和标准;</w:t>
      </w:r>
    </w:p>
    <w:p>
      <w:pPr>
        <w:pStyle w:val="17"/>
        <w:pageBreakBefore w:val="0"/>
        <w:widowControl/>
        <w:kinsoku/>
        <w:topLinePunct w:val="0"/>
        <w:bidi w:val="0"/>
        <w:spacing w:line="360" w:lineRule="auto"/>
        <w:ind w:firstLine="420"/>
        <w:rPr>
          <w:rFonts w:hint="eastAsia"/>
          <w:bCs/>
          <w:color w:val="000000"/>
          <w:kern w:val="2"/>
          <w:highlight w:val="none"/>
        </w:rPr>
      </w:pPr>
      <w:r>
        <w:rPr>
          <w:rFonts w:hint="eastAsia"/>
          <w:bCs/>
          <w:color w:val="000000"/>
          <w:kern w:val="2"/>
          <w:highlight w:val="none"/>
        </w:rPr>
        <w:t>(四)开标记录和评标情况及说明，包括无效</w:t>
      </w:r>
      <w:r>
        <w:rPr>
          <w:rFonts w:hint="eastAsia"/>
          <w:bCs/>
          <w:color w:val="000000"/>
          <w:kern w:val="2"/>
          <w:highlight w:val="none"/>
          <w:lang w:eastAsia="zh-CN"/>
        </w:rPr>
        <w:t>供应商</w:t>
      </w:r>
      <w:r>
        <w:rPr>
          <w:rFonts w:hint="eastAsia"/>
          <w:bCs/>
          <w:color w:val="000000"/>
          <w:kern w:val="2"/>
          <w:highlight w:val="none"/>
        </w:rPr>
        <w:t>名单及原因;</w:t>
      </w:r>
    </w:p>
    <w:p>
      <w:pPr>
        <w:pStyle w:val="17"/>
        <w:pageBreakBefore w:val="0"/>
        <w:widowControl/>
        <w:kinsoku/>
        <w:topLinePunct w:val="0"/>
        <w:bidi w:val="0"/>
        <w:spacing w:line="360" w:lineRule="auto"/>
        <w:ind w:firstLine="420"/>
        <w:rPr>
          <w:rFonts w:hint="eastAsia"/>
          <w:bCs/>
          <w:color w:val="000000"/>
          <w:kern w:val="2"/>
          <w:highlight w:val="none"/>
        </w:rPr>
      </w:pPr>
      <w:r>
        <w:rPr>
          <w:rFonts w:hint="eastAsia"/>
          <w:bCs/>
          <w:color w:val="000000"/>
          <w:kern w:val="2"/>
          <w:highlight w:val="none"/>
        </w:rPr>
        <w:t>(五)评标结果，确定的成交候选人名单或者经采购人委托直接确定的成交人;</w:t>
      </w:r>
    </w:p>
    <w:p>
      <w:pPr>
        <w:pStyle w:val="17"/>
        <w:pageBreakBefore w:val="0"/>
        <w:widowControl/>
        <w:kinsoku/>
        <w:topLinePunct w:val="0"/>
        <w:bidi w:val="0"/>
        <w:spacing w:line="360" w:lineRule="auto"/>
        <w:ind w:firstLine="420"/>
        <w:rPr>
          <w:rFonts w:hint="eastAsia"/>
          <w:bCs/>
          <w:color w:val="000000"/>
          <w:kern w:val="2"/>
          <w:highlight w:val="none"/>
        </w:rPr>
      </w:pPr>
      <w:r>
        <w:rPr>
          <w:rFonts w:hint="eastAsia"/>
          <w:bCs/>
          <w:color w:val="000000"/>
          <w:kern w:val="2"/>
          <w:highlight w:val="none"/>
        </w:rPr>
        <w:t>(六)其他需要说明的情况，包括评标过程中</w:t>
      </w:r>
      <w:r>
        <w:rPr>
          <w:rFonts w:hint="eastAsia"/>
          <w:bCs/>
          <w:color w:val="000000"/>
          <w:kern w:val="2"/>
          <w:highlight w:val="none"/>
          <w:lang w:eastAsia="zh-CN"/>
        </w:rPr>
        <w:t>供应商</w:t>
      </w:r>
      <w:r>
        <w:rPr>
          <w:rFonts w:hint="eastAsia"/>
          <w:bCs/>
          <w:color w:val="000000"/>
          <w:kern w:val="2"/>
          <w:highlight w:val="none"/>
        </w:rPr>
        <w:t>根据评标委员会要求进行的澄清、说明或者补正，评标委员会成员的更换等。</w:t>
      </w:r>
    </w:p>
    <w:p>
      <w:pPr>
        <w:pageBreakBefore w:val="0"/>
        <w:kinsoku/>
        <w:topLinePunct w:val="0"/>
        <w:bidi w:val="0"/>
        <w:spacing w:line="360" w:lineRule="auto"/>
        <w:ind w:firstLine="482" w:firstLineChars="200"/>
        <w:rPr>
          <w:rFonts w:hint="eastAsia"/>
          <w:bCs/>
          <w:color w:val="000000"/>
          <w:sz w:val="24"/>
          <w:highlight w:val="none"/>
        </w:rPr>
      </w:pPr>
      <w:r>
        <w:rPr>
          <w:rFonts w:hint="eastAsia"/>
          <w:b/>
          <w:color w:val="000000"/>
          <w:sz w:val="24"/>
          <w:highlight w:val="none"/>
        </w:rPr>
        <w:t>8、投标文件报价（最终报价）出现前后不一致的，除招标文件另有规定外，按照下列规定修正：</w:t>
      </w:r>
    </w:p>
    <w:p>
      <w:pPr>
        <w:pageBreakBefore w:val="0"/>
        <w:kinsoku/>
        <w:topLinePunct w:val="0"/>
        <w:bidi w:val="0"/>
        <w:spacing w:line="360" w:lineRule="auto"/>
        <w:ind w:firstLine="480" w:firstLineChars="200"/>
        <w:rPr>
          <w:rFonts w:hint="eastAsia"/>
          <w:bCs/>
          <w:color w:val="000000"/>
          <w:sz w:val="24"/>
          <w:highlight w:val="none"/>
        </w:rPr>
      </w:pPr>
      <w:r>
        <w:rPr>
          <w:rFonts w:hint="eastAsia"/>
          <w:bCs/>
          <w:color w:val="000000"/>
          <w:sz w:val="24"/>
          <w:highlight w:val="none"/>
        </w:rPr>
        <w:t>(一)投标文件中开标一览表(报价表)内容与投标文件中相应内容不一致的，以开标一览表(报价表)为准;</w:t>
      </w:r>
    </w:p>
    <w:p>
      <w:pPr>
        <w:pageBreakBefore w:val="0"/>
        <w:kinsoku/>
        <w:topLinePunct w:val="0"/>
        <w:bidi w:val="0"/>
        <w:spacing w:line="360" w:lineRule="auto"/>
        <w:ind w:firstLine="480" w:firstLineChars="200"/>
        <w:rPr>
          <w:rFonts w:hint="eastAsia"/>
          <w:bCs/>
          <w:color w:val="000000"/>
          <w:sz w:val="24"/>
          <w:highlight w:val="none"/>
        </w:rPr>
      </w:pPr>
      <w:r>
        <w:rPr>
          <w:rFonts w:hint="eastAsia"/>
          <w:bCs/>
          <w:color w:val="000000"/>
          <w:sz w:val="24"/>
          <w:highlight w:val="none"/>
        </w:rPr>
        <w:t>(二)大写金额和小写金额不一致的，以大写金额为准;</w:t>
      </w:r>
    </w:p>
    <w:p>
      <w:pPr>
        <w:pageBreakBefore w:val="0"/>
        <w:kinsoku/>
        <w:topLinePunct w:val="0"/>
        <w:bidi w:val="0"/>
        <w:spacing w:line="360" w:lineRule="auto"/>
        <w:ind w:firstLine="480" w:firstLineChars="200"/>
        <w:rPr>
          <w:rFonts w:hint="eastAsia"/>
          <w:bCs/>
          <w:color w:val="000000"/>
          <w:sz w:val="24"/>
          <w:highlight w:val="none"/>
        </w:rPr>
      </w:pPr>
      <w:r>
        <w:rPr>
          <w:rFonts w:hint="eastAsia"/>
          <w:bCs/>
          <w:color w:val="000000"/>
          <w:sz w:val="24"/>
          <w:highlight w:val="none"/>
        </w:rPr>
        <w:t>(三)单价金额小数点或者百分比有明显错位的，以开标一览表的总价为准，并修改单价;</w:t>
      </w:r>
    </w:p>
    <w:p>
      <w:pPr>
        <w:pageBreakBefore w:val="0"/>
        <w:kinsoku/>
        <w:topLinePunct w:val="0"/>
        <w:bidi w:val="0"/>
        <w:spacing w:line="360" w:lineRule="auto"/>
        <w:ind w:firstLine="480" w:firstLineChars="200"/>
        <w:rPr>
          <w:rFonts w:hint="eastAsia"/>
          <w:bCs/>
          <w:color w:val="000000"/>
          <w:sz w:val="24"/>
          <w:highlight w:val="none"/>
        </w:rPr>
      </w:pPr>
      <w:r>
        <w:rPr>
          <w:rFonts w:hint="eastAsia"/>
          <w:bCs/>
          <w:color w:val="000000"/>
          <w:sz w:val="24"/>
          <w:highlight w:val="none"/>
        </w:rPr>
        <w:t>(四)总价金额与按单价汇总金额不一致的，以单价金额计算结果为准。</w:t>
      </w:r>
    </w:p>
    <w:p>
      <w:pPr>
        <w:pageBreakBefore w:val="0"/>
        <w:kinsoku/>
        <w:topLinePunct w:val="0"/>
        <w:bidi w:val="0"/>
        <w:spacing w:line="360" w:lineRule="auto"/>
        <w:ind w:firstLine="480" w:firstLineChars="200"/>
        <w:rPr>
          <w:rFonts w:hint="eastAsia"/>
          <w:bCs/>
          <w:color w:val="000000"/>
          <w:sz w:val="24"/>
          <w:highlight w:val="none"/>
        </w:rPr>
      </w:pPr>
      <w:r>
        <w:rPr>
          <w:rFonts w:hint="eastAsia"/>
          <w:bCs/>
          <w:color w:val="000000"/>
          <w:sz w:val="24"/>
          <w:highlight w:val="none"/>
        </w:rPr>
        <w:t>同时出现两种以上不一致的，按照前款规定的顺序修正。修正后的报价按照本办法第五十一条第二款的规定经</w:t>
      </w:r>
      <w:r>
        <w:rPr>
          <w:rFonts w:hint="eastAsia"/>
          <w:bCs/>
          <w:color w:val="000000"/>
          <w:sz w:val="24"/>
          <w:highlight w:val="none"/>
          <w:lang w:eastAsia="zh-CN"/>
        </w:rPr>
        <w:t>供应商</w:t>
      </w:r>
      <w:r>
        <w:rPr>
          <w:rFonts w:hint="eastAsia"/>
          <w:bCs/>
          <w:color w:val="000000"/>
          <w:sz w:val="24"/>
          <w:highlight w:val="none"/>
        </w:rPr>
        <w:t>确认后产生约束力，</w:t>
      </w:r>
      <w:r>
        <w:rPr>
          <w:rFonts w:hint="eastAsia"/>
          <w:bCs/>
          <w:color w:val="000000"/>
          <w:sz w:val="24"/>
          <w:highlight w:val="none"/>
          <w:lang w:eastAsia="zh-CN"/>
        </w:rPr>
        <w:t>供应商</w:t>
      </w:r>
      <w:r>
        <w:rPr>
          <w:rFonts w:hint="eastAsia"/>
          <w:bCs/>
          <w:color w:val="000000"/>
          <w:sz w:val="24"/>
          <w:highlight w:val="none"/>
        </w:rPr>
        <w:t>不确认的，其投标无效。</w:t>
      </w:r>
    </w:p>
    <w:p>
      <w:pPr>
        <w:pageBreakBefore w:val="0"/>
        <w:kinsoku/>
        <w:topLinePunct w:val="0"/>
        <w:bidi w:val="0"/>
        <w:spacing w:line="360" w:lineRule="auto"/>
        <w:ind w:firstLine="482" w:firstLineChars="200"/>
        <w:rPr>
          <w:rFonts w:hint="eastAsia"/>
          <w:b/>
          <w:color w:val="000000"/>
          <w:sz w:val="24"/>
          <w:highlight w:val="none"/>
        </w:rPr>
      </w:pPr>
      <w:r>
        <w:rPr>
          <w:rFonts w:hint="eastAsia"/>
          <w:b/>
          <w:color w:val="000000"/>
          <w:sz w:val="24"/>
          <w:highlight w:val="none"/>
        </w:rPr>
        <w:t>9、终止采购</w:t>
      </w:r>
    </w:p>
    <w:p>
      <w:pPr>
        <w:pageBreakBefore w:val="0"/>
        <w:kinsoku/>
        <w:topLinePunct w:val="0"/>
        <w:bidi w:val="0"/>
        <w:spacing w:line="360" w:lineRule="auto"/>
        <w:ind w:firstLine="480" w:firstLineChars="200"/>
        <w:rPr>
          <w:rFonts w:hint="eastAsia"/>
          <w:bCs/>
          <w:color w:val="000000"/>
          <w:sz w:val="24"/>
          <w:highlight w:val="none"/>
        </w:rPr>
      </w:pPr>
      <w:r>
        <w:rPr>
          <w:rFonts w:hint="eastAsia"/>
          <w:bCs/>
          <w:color w:val="000000"/>
          <w:sz w:val="24"/>
          <w:highlight w:val="none"/>
        </w:rPr>
        <w:t>出现下列情形之一的，采购人或者采购代理机构应当终止竞争性磋商采购活动，发布项目终止公告并说明原因，重新开展采购活动：</w:t>
      </w:r>
    </w:p>
    <w:p>
      <w:pPr>
        <w:pageBreakBefore w:val="0"/>
        <w:kinsoku/>
        <w:topLinePunct w:val="0"/>
        <w:bidi w:val="0"/>
        <w:spacing w:line="360" w:lineRule="auto"/>
        <w:ind w:firstLine="480" w:firstLineChars="200"/>
        <w:rPr>
          <w:rFonts w:hint="eastAsia"/>
          <w:bCs/>
          <w:color w:val="000000"/>
          <w:sz w:val="24"/>
          <w:highlight w:val="none"/>
        </w:rPr>
      </w:pPr>
      <w:r>
        <w:rPr>
          <w:rFonts w:hint="eastAsia"/>
          <w:bCs/>
          <w:color w:val="000000"/>
          <w:sz w:val="24"/>
          <w:highlight w:val="none"/>
        </w:rPr>
        <w:t>（一）因情况变化，不再符合规定的竞争性磋商采购方式适用情形的；</w:t>
      </w:r>
    </w:p>
    <w:p>
      <w:pPr>
        <w:pageBreakBefore w:val="0"/>
        <w:kinsoku/>
        <w:topLinePunct w:val="0"/>
        <w:bidi w:val="0"/>
        <w:spacing w:line="360" w:lineRule="auto"/>
        <w:ind w:firstLine="480" w:firstLineChars="200"/>
        <w:rPr>
          <w:rFonts w:hint="eastAsia"/>
          <w:bCs/>
          <w:color w:val="000000"/>
          <w:sz w:val="24"/>
          <w:highlight w:val="none"/>
        </w:rPr>
      </w:pPr>
      <w:r>
        <w:rPr>
          <w:rFonts w:hint="eastAsia"/>
          <w:bCs/>
          <w:color w:val="000000"/>
          <w:sz w:val="24"/>
          <w:highlight w:val="none"/>
        </w:rPr>
        <w:t>（二）出现影响采购公正的违法、违规行为的；</w:t>
      </w:r>
    </w:p>
    <w:p>
      <w:pPr>
        <w:pageBreakBefore w:val="0"/>
        <w:kinsoku/>
        <w:topLinePunct w:val="0"/>
        <w:bidi w:val="0"/>
        <w:spacing w:line="360" w:lineRule="auto"/>
        <w:ind w:firstLine="480" w:firstLineChars="200"/>
        <w:rPr>
          <w:rFonts w:hint="eastAsia"/>
          <w:bCs/>
          <w:color w:val="000000"/>
          <w:sz w:val="24"/>
          <w:highlight w:val="none"/>
        </w:rPr>
      </w:pPr>
      <w:r>
        <w:rPr>
          <w:rFonts w:hint="eastAsia"/>
          <w:bCs/>
          <w:color w:val="000000"/>
          <w:sz w:val="24"/>
          <w:highlight w:val="none"/>
        </w:rPr>
        <w:t>（三）除《政府采购竞争性磋商采购方式管理暂行办法》第二十一条第三款规定的情形外，在采购过程中符合要求的</w:t>
      </w:r>
      <w:r>
        <w:rPr>
          <w:rFonts w:hint="eastAsia"/>
          <w:bCs/>
          <w:color w:val="000000"/>
          <w:sz w:val="24"/>
          <w:highlight w:val="none"/>
          <w:lang w:eastAsia="zh-CN"/>
        </w:rPr>
        <w:t>供应商</w:t>
      </w:r>
      <w:r>
        <w:rPr>
          <w:rFonts w:hint="eastAsia"/>
          <w:bCs/>
          <w:color w:val="000000"/>
          <w:sz w:val="24"/>
          <w:highlight w:val="none"/>
        </w:rPr>
        <w:t>或者报价未超过采购预算的</w:t>
      </w:r>
      <w:r>
        <w:rPr>
          <w:rFonts w:hint="eastAsia"/>
          <w:bCs/>
          <w:color w:val="000000"/>
          <w:sz w:val="24"/>
          <w:highlight w:val="none"/>
          <w:lang w:eastAsia="zh-CN"/>
        </w:rPr>
        <w:t>供应商</w:t>
      </w:r>
      <w:r>
        <w:rPr>
          <w:rFonts w:hint="eastAsia"/>
          <w:bCs/>
          <w:color w:val="000000"/>
          <w:sz w:val="24"/>
          <w:highlight w:val="none"/>
        </w:rPr>
        <w:t>不足3家的。</w:t>
      </w:r>
    </w:p>
    <w:p>
      <w:pPr>
        <w:pageBreakBefore w:val="0"/>
        <w:kinsoku/>
        <w:topLinePunct w:val="0"/>
        <w:bidi w:val="0"/>
        <w:spacing w:line="360" w:lineRule="auto"/>
        <w:ind w:firstLine="480" w:firstLineChars="200"/>
        <w:rPr>
          <w:rFonts w:hint="eastAsia"/>
          <w:bCs/>
          <w:color w:val="000000"/>
          <w:sz w:val="24"/>
          <w:highlight w:val="none"/>
        </w:rPr>
      </w:pPr>
      <w:r>
        <w:rPr>
          <w:rFonts w:hint="eastAsia"/>
          <w:bCs/>
          <w:color w:val="000000"/>
          <w:sz w:val="24"/>
          <w:highlight w:val="none"/>
        </w:rPr>
        <w:t>在采购活动中因重大变故，采购任务取消的，采购人或者采购代理机构应当终止采购活动，通知所有参加采购活动的</w:t>
      </w:r>
      <w:r>
        <w:rPr>
          <w:rFonts w:hint="eastAsia"/>
          <w:bCs/>
          <w:color w:val="000000"/>
          <w:sz w:val="24"/>
          <w:highlight w:val="none"/>
          <w:lang w:eastAsia="zh-CN"/>
        </w:rPr>
        <w:t>供应商</w:t>
      </w:r>
      <w:r>
        <w:rPr>
          <w:rFonts w:hint="eastAsia"/>
          <w:bCs/>
          <w:color w:val="000000"/>
          <w:sz w:val="24"/>
          <w:highlight w:val="none"/>
        </w:rPr>
        <w:t>，并将项目实施情况和采购任务取消原因报送本级财政部门。</w:t>
      </w:r>
    </w:p>
    <w:p>
      <w:pPr>
        <w:pageBreakBefore w:val="0"/>
        <w:kinsoku/>
        <w:topLinePunct w:val="0"/>
        <w:bidi w:val="0"/>
        <w:spacing w:line="360" w:lineRule="auto"/>
        <w:ind w:firstLine="482" w:firstLineChars="200"/>
        <w:rPr>
          <w:rFonts w:hint="eastAsia"/>
          <w:b/>
          <w:bCs/>
          <w:color w:val="000000"/>
          <w:sz w:val="24"/>
          <w:highlight w:val="none"/>
        </w:rPr>
        <w:sectPr>
          <w:pgSz w:w="11906" w:h="16838"/>
          <w:pgMar w:top="1247" w:right="1422" w:bottom="1134" w:left="864" w:header="851" w:footer="850" w:gutter="0"/>
          <w:pgNumType w:fmt="decimal"/>
          <w:cols w:space="708" w:num="1"/>
          <w:titlePg/>
          <w:docGrid w:type="lines" w:linePitch="321" w:charSpace="0"/>
        </w:sectPr>
      </w:pPr>
    </w:p>
    <w:p>
      <w:pPr>
        <w:pageBreakBefore w:val="0"/>
        <w:kinsoku/>
        <w:topLinePunct w:val="0"/>
        <w:bidi w:val="0"/>
        <w:spacing w:line="360" w:lineRule="auto"/>
        <w:jc w:val="center"/>
        <w:rPr>
          <w:b/>
          <w:bCs/>
          <w:color w:val="000000"/>
          <w:sz w:val="30"/>
          <w:szCs w:val="30"/>
          <w:highlight w:val="none"/>
        </w:rPr>
      </w:pPr>
      <w:r>
        <w:rPr>
          <w:b/>
          <w:bCs/>
          <w:color w:val="000000"/>
          <w:sz w:val="30"/>
          <w:szCs w:val="30"/>
          <w:highlight w:val="none"/>
        </w:rPr>
        <w:t>第二次报价（格式）</w:t>
      </w:r>
    </w:p>
    <w:p>
      <w:pPr>
        <w:pageBreakBefore w:val="0"/>
        <w:kinsoku/>
        <w:topLinePunct w:val="0"/>
        <w:bidi w:val="0"/>
        <w:spacing w:before="8" w:line="360" w:lineRule="auto"/>
        <w:rPr>
          <w:rFonts w:ascii="宋体" w:hAnsi="宋体"/>
          <w:color w:val="000000"/>
          <w:sz w:val="13"/>
          <w:szCs w:val="13"/>
          <w:highlight w:val="none"/>
        </w:rPr>
      </w:pPr>
    </w:p>
    <w:p>
      <w:pPr>
        <w:pageBreakBefore w:val="0"/>
        <w:tabs>
          <w:tab w:val="left" w:pos="6020"/>
        </w:tabs>
        <w:kinsoku/>
        <w:topLinePunct w:val="0"/>
        <w:bidi w:val="0"/>
        <w:spacing w:line="360" w:lineRule="auto"/>
        <w:ind w:left="153" w:right="-20"/>
        <w:rPr>
          <w:rFonts w:hint="eastAsia" w:ascii="宋体" w:hAnsi="宋体"/>
          <w:b/>
          <w:bCs/>
          <w:color w:val="000000"/>
          <w:sz w:val="24"/>
          <w:highlight w:val="none"/>
        </w:rPr>
      </w:pPr>
      <w:r>
        <w:rPr>
          <w:rFonts w:ascii="宋体" w:hAnsi="宋体"/>
          <w:b/>
          <w:bCs/>
          <w:color w:val="000000"/>
          <w:sz w:val="24"/>
          <w:highlight w:val="none"/>
        </w:rPr>
        <w:t>项目名称：</w:t>
      </w:r>
    </w:p>
    <w:p>
      <w:pPr>
        <w:pageBreakBefore w:val="0"/>
        <w:tabs>
          <w:tab w:val="left" w:pos="6020"/>
        </w:tabs>
        <w:kinsoku/>
        <w:topLinePunct w:val="0"/>
        <w:bidi w:val="0"/>
        <w:spacing w:line="360" w:lineRule="auto"/>
        <w:ind w:left="153" w:right="-20"/>
        <w:rPr>
          <w:rFonts w:ascii="宋体" w:hAnsi="宋体"/>
          <w:b/>
          <w:bCs/>
          <w:color w:val="000000"/>
          <w:sz w:val="24"/>
          <w:highlight w:val="none"/>
        </w:rPr>
      </w:pPr>
      <w:r>
        <w:rPr>
          <w:rFonts w:ascii="宋体" w:hAnsi="宋体"/>
          <w:b/>
          <w:bCs/>
          <w:color w:val="000000"/>
          <w:sz w:val="24"/>
          <w:highlight w:val="none"/>
        </w:rPr>
        <w:t>项目编号：</w:t>
      </w:r>
    </w:p>
    <w:p>
      <w:pPr>
        <w:pageBreakBefore w:val="0"/>
        <w:tabs>
          <w:tab w:val="left" w:pos="6020"/>
        </w:tabs>
        <w:kinsoku/>
        <w:topLinePunct w:val="0"/>
        <w:bidi w:val="0"/>
        <w:spacing w:line="360" w:lineRule="auto"/>
        <w:ind w:left="153" w:right="-20"/>
        <w:rPr>
          <w:rFonts w:ascii="宋体" w:hAnsi="宋体"/>
          <w:b/>
          <w:bCs/>
          <w:color w:val="000000"/>
          <w:sz w:val="24"/>
          <w:highlight w:val="none"/>
        </w:rPr>
      </w:pPr>
    </w:p>
    <w:p>
      <w:pPr>
        <w:pageBreakBefore w:val="0"/>
        <w:kinsoku/>
        <w:topLinePunct w:val="0"/>
        <w:bidi w:val="0"/>
        <w:spacing w:before="1" w:line="360" w:lineRule="auto"/>
        <w:rPr>
          <w:rFonts w:ascii="宋体" w:hAnsi="宋体"/>
          <w:b/>
          <w:bCs/>
          <w:color w:val="000000"/>
          <w:sz w:val="24"/>
          <w:highlight w:val="none"/>
        </w:rPr>
      </w:pPr>
    </w:p>
    <w:tbl>
      <w:tblPr>
        <w:tblStyle w:val="18"/>
        <w:tblW w:w="0" w:type="auto"/>
        <w:tblInd w:w="-515" w:type="dxa"/>
        <w:tblLayout w:type="fixed"/>
        <w:tblCellMar>
          <w:top w:w="0" w:type="dxa"/>
          <w:left w:w="0" w:type="dxa"/>
          <w:bottom w:w="0" w:type="dxa"/>
          <w:right w:w="0" w:type="dxa"/>
        </w:tblCellMar>
      </w:tblPr>
      <w:tblGrid>
        <w:gridCol w:w="2363"/>
        <w:gridCol w:w="1316"/>
        <w:gridCol w:w="5700"/>
      </w:tblGrid>
      <w:tr>
        <w:tblPrEx>
          <w:tblCellMar>
            <w:top w:w="0" w:type="dxa"/>
            <w:left w:w="0" w:type="dxa"/>
            <w:bottom w:w="0" w:type="dxa"/>
            <w:right w:w="0" w:type="dxa"/>
          </w:tblCellMar>
        </w:tblPrEx>
        <w:trPr>
          <w:trHeight w:val="1673" w:hRule="exact"/>
        </w:trPr>
        <w:tc>
          <w:tcPr>
            <w:tcW w:w="2363" w:type="dxa"/>
            <w:vMerge w:val="restart"/>
            <w:tcBorders>
              <w:top w:val="single" w:color="000000" w:sz="4" w:space="0"/>
              <w:left w:val="single" w:color="000000" w:sz="4" w:space="0"/>
              <w:right w:val="single" w:color="000000" w:sz="4" w:space="0"/>
            </w:tcBorders>
          </w:tcPr>
          <w:p>
            <w:pPr>
              <w:pageBreakBefore w:val="0"/>
              <w:kinsoku/>
              <w:topLinePunct w:val="0"/>
              <w:bidi w:val="0"/>
              <w:spacing w:line="360" w:lineRule="auto"/>
              <w:rPr>
                <w:rFonts w:ascii="宋体" w:hAnsi="宋体"/>
                <w:b/>
                <w:bCs/>
                <w:color w:val="000000"/>
                <w:sz w:val="24"/>
                <w:highlight w:val="none"/>
              </w:rPr>
            </w:pPr>
          </w:p>
          <w:p>
            <w:pPr>
              <w:pageBreakBefore w:val="0"/>
              <w:kinsoku/>
              <w:topLinePunct w:val="0"/>
              <w:bidi w:val="0"/>
              <w:spacing w:line="360" w:lineRule="auto"/>
              <w:rPr>
                <w:rFonts w:ascii="宋体" w:hAnsi="宋体"/>
                <w:b/>
                <w:bCs/>
                <w:color w:val="000000"/>
                <w:sz w:val="24"/>
                <w:highlight w:val="none"/>
              </w:rPr>
            </w:pPr>
          </w:p>
          <w:p>
            <w:pPr>
              <w:pageBreakBefore w:val="0"/>
              <w:kinsoku/>
              <w:topLinePunct w:val="0"/>
              <w:bidi w:val="0"/>
              <w:spacing w:line="360" w:lineRule="auto"/>
              <w:rPr>
                <w:rFonts w:ascii="宋体" w:hAnsi="宋体"/>
                <w:b/>
                <w:bCs/>
                <w:color w:val="000000"/>
                <w:sz w:val="24"/>
                <w:highlight w:val="none"/>
              </w:rPr>
            </w:pPr>
          </w:p>
          <w:p>
            <w:pPr>
              <w:pageBreakBefore w:val="0"/>
              <w:kinsoku/>
              <w:topLinePunct w:val="0"/>
              <w:bidi w:val="0"/>
              <w:spacing w:line="360" w:lineRule="auto"/>
              <w:rPr>
                <w:rFonts w:ascii="宋体" w:hAnsi="宋体"/>
                <w:b/>
                <w:bCs/>
                <w:color w:val="000000"/>
                <w:sz w:val="24"/>
                <w:highlight w:val="none"/>
              </w:rPr>
            </w:pPr>
          </w:p>
          <w:p>
            <w:pPr>
              <w:pageBreakBefore w:val="0"/>
              <w:kinsoku/>
              <w:topLinePunct w:val="0"/>
              <w:bidi w:val="0"/>
              <w:spacing w:before="12" w:line="360" w:lineRule="auto"/>
              <w:rPr>
                <w:rFonts w:ascii="宋体" w:hAnsi="宋体"/>
                <w:b/>
                <w:bCs/>
                <w:color w:val="000000"/>
                <w:sz w:val="24"/>
                <w:highlight w:val="none"/>
              </w:rPr>
            </w:pPr>
          </w:p>
          <w:p>
            <w:pPr>
              <w:pageBreakBefore w:val="0"/>
              <w:kinsoku/>
              <w:topLinePunct w:val="0"/>
              <w:bidi w:val="0"/>
              <w:spacing w:line="360" w:lineRule="auto"/>
              <w:ind w:left="565" w:right="545"/>
              <w:jc w:val="center"/>
              <w:rPr>
                <w:rFonts w:ascii="宋体" w:hAnsi="宋体"/>
                <w:b/>
                <w:bCs/>
                <w:color w:val="000000"/>
                <w:sz w:val="24"/>
                <w:highlight w:val="none"/>
              </w:rPr>
            </w:pPr>
            <w:r>
              <w:rPr>
                <w:rFonts w:ascii="宋体" w:hAnsi="宋体"/>
                <w:b/>
                <w:bCs/>
                <w:color w:val="000000"/>
                <w:sz w:val="24"/>
                <w:highlight w:val="none"/>
              </w:rPr>
              <w:t>投标总价</w:t>
            </w:r>
          </w:p>
          <w:p>
            <w:pPr>
              <w:pageBreakBefore w:val="0"/>
              <w:kinsoku/>
              <w:topLinePunct w:val="0"/>
              <w:bidi w:val="0"/>
              <w:spacing w:before="6" w:line="360" w:lineRule="auto"/>
              <w:rPr>
                <w:rFonts w:ascii="宋体" w:hAnsi="宋体"/>
                <w:b/>
                <w:bCs/>
                <w:color w:val="000000"/>
                <w:sz w:val="24"/>
                <w:highlight w:val="none"/>
              </w:rPr>
            </w:pPr>
          </w:p>
          <w:p>
            <w:pPr>
              <w:pageBreakBefore w:val="0"/>
              <w:kinsoku/>
              <w:topLinePunct w:val="0"/>
              <w:bidi w:val="0"/>
              <w:spacing w:line="360" w:lineRule="auto"/>
              <w:ind w:left="217" w:right="61"/>
              <w:jc w:val="center"/>
              <w:rPr>
                <w:rFonts w:ascii="宋体" w:hAnsi="宋体"/>
                <w:b/>
                <w:bCs/>
                <w:color w:val="000000"/>
                <w:sz w:val="24"/>
                <w:highlight w:val="none"/>
              </w:rPr>
            </w:pPr>
            <w:r>
              <w:rPr>
                <w:rFonts w:ascii="宋体" w:hAnsi="宋体"/>
                <w:b/>
                <w:bCs/>
                <w:color w:val="000000"/>
                <w:sz w:val="24"/>
                <w:highlight w:val="none"/>
              </w:rPr>
              <w:t>（人民币/元）</w:t>
            </w:r>
          </w:p>
        </w:tc>
        <w:tc>
          <w:tcPr>
            <w:tcW w:w="1316" w:type="dxa"/>
            <w:tcBorders>
              <w:top w:val="single" w:color="000000" w:sz="4" w:space="0"/>
              <w:left w:val="single" w:color="000000" w:sz="4" w:space="0"/>
              <w:bottom w:val="single" w:color="000000" w:sz="4" w:space="0"/>
              <w:right w:val="single" w:color="000000" w:sz="4" w:space="0"/>
            </w:tcBorders>
          </w:tcPr>
          <w:p>
            <w:pPr>
              <w:pageBreakBefore w:val="0"/>
              <w:kinsoku/>
              <w:topLinePunct w:val="0"/>
              <w:bidi w:val="0"/>
              <w:spacing w:before="8" w:line="360" w:lineRule="auto"/>
              <w:jc w:val="center"/>
              <w:rPr>
                <w:rFonts w:ascii="宋体" w:hAnsi="宋体"/>
                <w:b/>
                <w:bCs/>
                <w:color w:val="000000"/>
                <w:sz w:val="24"/>
                <w:highlight w:val="none"/>
              </w:rPr>
            </w:pPr>
          </w:p>
          <w:p>
            <w:pPr>
              <w:pageBreakBefore w:val="0"/>
              <w:kinsoku/>
              <w:topLinePunct w:val="0"/>
              <w:bidi w:val="0"/>
              <w:spacing w:line="360" w:lineRule="auto"/>
              <w:jc w:val="center"/>
              <w:rPr>
                <w:rFonts w:ascii="宋体" w:hAnsi="宋体"/>
                <w:b/>
                <w:bCs/>
                <w:color w:val="000000"/>
                <w:sz w:val="24"/>
                <w:highlight w:val="none"/>
              </w:rPr>
            </w:pPr>
          </w:p>
          <w:p>
            <w:pPr>
              <w:pageBreakBefore w:val="0"/>
              <w:kinsoku/>
              <w:topLinePunct w:val="0"/>
              <w:bidi w:val="0"/>
              <w:spacing w:line="360" w:lineRule="auto"/>
              <w:ind w:right="-20"/>
              <w:jc w:val="both"/>
              <w:rPr>
                <w:rFonts w:ascii="宋体" w:hAnsi="宋体"/>
                <w:b/>
                <w:bCs/>
                <w:color w:val="000000"/>
                <w:sz w:val="24"/>
                <w:highlight w:val="none"/>
              </w:rPr>
            </w:pPr>
            <w:r>
              <w:rPr>
                <w:rFonts w:ascii="宋体" w:hAnsi="宋体"/>
                <w:b/>
                <w:bCs/>
                <w:color w:val="000000"/>
                <w:sz w:val="24"/>
                <w:highlight w:val="none"/>
              </w:rPr>
              <w:t>大写</w:t>
            </w:r>
          </w:p>
        </w:tc>
        <w:tc>
          <w:tcPr>
            <w:tcW w:w="5700" w:type="dxa"/>
            <w:tcBorders>
              <w:top w:val="single" w:color="000000" w:sz="4" w:space="0"/>
              <w:left w:val="single" w:color="000000" w:sz="4" w:space="0"/>
              <w:bottom w:val="single" w:color="000000" w:sz="4" w:space="0"/>
              <w:right w:val="single" w:color="000000" w:sz="4" w:space="0"/>
            </w:tcBorders>
          </w:tcPr>
          <w:p>
            <w:pPr>
              <w:pageBreakBefore w:val="0"/>
              <w:kinsoku/>
              <w:topLinePunct w:val="0"/>
              <w:bidi w:val="0"/>
              <w:spacing w:line="360" w:lineRule="auto"/>
              <w:rPr>
                <w:rFonts w:ascii="宋体" w:hAnsi="宋体"/>
                <w:b/>
                <w:bCs/>
                <w:color w:val="000000"/>
                <w:sz w:val="24"/>
                <w:highlight w:val="none"/>
              </w:rPr>
            </w:pPr>
          </w:p>
        </w:tc>
      </w:tr>
      <w:tr>
        <w:tblPrEx>
          <w:tblCellMar>
            <w:top w:w="0" w:type="dxa"/>
            <w:left w:w="0" w:type="dxa"/>
            <w:bottom w:w="0" w:type="dxa"/>
            <w:right w:w="0" w:type="dxa"/>
          </w:tblCellMar>
        </w:tblPrEx>
        <w:trPr>
          <w:trHeight w:val="1754" w:hRule="exact"/>
        </w:trPr>
        <w:tc>
          <w:tcPr>
            <w:tcW w:w="2363" w:type="dxa"/>
            <w:vMerge w:val="continue"/>
            <w:tcBorders>
              <w:left w:val="single" w:color="000000" w:sz="4" w:space="0"/>
              <w:bottom w:val="single" w:color="000000" w:sz="4" w:space="0"/>
              <w:right w:val="single" w:color="000000" w:sz="4" w:space="0"/>
            </w:tcBorders>
          </w:tcPr>
          <w:p>
            <w:pPr>
              <w:pageBreakBefore w:val="0"/>
              <w:kinsoku/>
              <w:topLinePunct w:val="0"/>
              <w:bidi w:val="0"/>
              <w:spacing w:line="360" w:lineRule="auto"/>
              <w:rPr>
                <w:rFonts w:ascii="宋体" w:hAnsi="宋体"/>
                <w:b/>
                <w:bCs/>
                <w:color w:val="000000"/>
                <w:sz w:val="24"/>
                <w:highlight w:val="none"/>
              </w:rPr>
            </w:pPr>
          </w:p>
        </w:tc>
        <w:tc>
          <w:tcPr>
            <w:tcW w:w="1316" w:type="dxa"/>
            <w:tcBorders>
              <w:top w:val="single" w:color="000000" w:sz="4" w:space="0"/>
              <w:left w:val="single" w:color="000000" w:sz="4" w:space="0"/>
              <w:bottom w:val="single" w:color="000000" w:sz="4" w:space="0"/>
              <w:right w:val="single" w:color="000000" w:sz="4" w:space="0"/>
            </w:tcBorders>
          </w:tcPr>
          <w:p>
            <w:pPr>
              <w:pageBreakBefore w:val="0"/>
              <w:kinsoku/>
              <w:topLinePunct w:val="0"/>
              <w:bidi w:val="0"/>
              <w:spacing w:before="9" w:line="360" w:lineRule="auto"/>
              <w:jc w:val="center"/>
              <w:rPr>
                <w:rFonts w:ascii="宋体" w:hAnsi="宋体"/>
                <w:b/>
                <w:bCs/>
                <w:color w:val="000000"/>
                <w:sz w:val="24"/>
                <w:highlight w:val="none"/>
              </w:rPr>
            </w:pPr>
          </w:p>
          <w:p>
            <w:pPr>
              <w:pageBreakBefore w:val="0"/>
              <w:kinsoku/>
              <w:topLinePunct w:val="0"/>
              <w:bidi w:val="0"/>
              <w:spacing w:line="360" w:lineRule="auto"/>
              <w:jc w:val="center"/>
              <w:rPr>
                <w:rFonts w:ascii="宋体" w:hAnsi="宋体"/>
                <w:b/>
                <w:bCs/>
                <w:color w:val="000000"/>
                <w:sz w:val="24"/>
                <w:highlight w:val="none"/>
              </w:rPr>
            </w:pPr>
          </w:p>
          <w:p>
            <w:pPr>
              <w:pageBreakBefore w:val="0"/>
              <w:kinsoku/>
              <w:topLinePunct w:val="0"/>
              <w:bidi w:val="0"/>
              <w:spacing w:line="360" w:lineRule="auto"/>
              <w:ind w:right="-20"/>
              <w:jc w:val="both"/>
              <w:rPr>
                <w:rFonts w:ascii="宋体" w:hAnsi="宋体"/>
                <w:b/>
                <w:bCs/>
                <w:color w:val="000000"/>
                <w:sz w:val="24"/>
                <w:highlight w:val="none"/>
              </w:rPr>
            </w:pPr>
            <w:r>
              <w:rPr>
                <w:rFonts w:ascii="宋体" w:hAnsi="宋体"/>
                <w:b/>
                <w:bCs/>
                <w:color w:val="000000"/>
                <w:sz w:val="24"/>
                <w:highlight w:val="none"/>
              </w:rPr>
              <w:t>小写</w:t>
            </w:r>
          </w:p>
        </w:tc>
        <w:tc>
          <w:tcPr>
            <w:tcW w:w="5700" w:type="dxa"/>
            <w:tcBorders>
              <w:top w:val="single" w:color="000000" w:sz="4" w:space="0"/>
              <w:left w:val="single" w:color="000000" w:sz="4" w:space="0"/>
              <w:bottom w:val="single" w:color="000000" w:sz="4" w:space="0"/>
              <w:right w:val="single" w:color="000000" w:sz="4" w:space="0"/>
            </w:tcBorders>
          </w:tcPr>
          <w:p>
            <w:pPr>
              <w:pageBreakBefore w:val="0"/>
              <w:kinsoku/>
              <w:topLinePunct w:val="0"/>
              <w:bidi w:val="0"/>
              <w:spacing w:line="360" w:lineRule="auto"/>
              <w:rPr>
                <w:rFonts w:ascii="宋体" w:hAnsi="宋体"/>
                <w:b/>
                <w:bCs/>
                <w:color w:val="000000"/>
                <w:sz w:val="24"/>
                <w:highlight w:val="none"/>
              </w:rPr>
            </w:pPr>
          </w:p>
        </w:tc>
      </w:tr>
      <w:tr>
        <w:tblPrEx>
          <w:tblCellMar>
            <w:top w:w="0" w:type="dxa"/>
            <w:left w:w="0" w:type="dxa"/>
            <w:bottom w:w="0" w:type="dxa"/>
            <w:right w:w="0" w:type="dxa"/>
          </w:tblCellMar>
        </w:tblPrEx>
        <w:trPr>
          <w:trHeight w:val="1747" w:hRule="exact"/>
        </w:trPr>
        <w:tc>
          <w:tcPr>
            <w:tcW w:w="2363" w:type="dxa"/>
            <w:tcBorders>
              <w:top w:val="single" w:color="000000" w:sz="4" w:space="0"/>
              <w:left w:val="single" w:color="000000" w:sz="4" w:space="0"/>
              <w:bottom w:val="single" w:color="000000" w:sz="4" w:space="0"/>
              <w:right w:val="single" w:color="000000" w:sz="4" w:space="0"/>
            </w:tcBorders>
            <w:vAlign w:val="center"/>
          </w:tcPr>
          <w:p>
            <w:pPr>
              <w:pageBreakBefore w:val="0"/>
              <w:kinsoku/>
              <w:topLinePunct w:val="0"/>
              <w:bidi w:val="0"/>
              <w:spacing w:line="360" w:lineRule="auto"/>
              <w:ind w:right="406"/>
              <w:jc w:val="center"/>
              <w:rPr>
                <w:rFonts w:hint="eastAsia" w:ascii="宋体" w:hAnsi="宋体" w:eastAsia="宋体"/>
                <w:b/>
                <w:bCs/>
                <w:color w:val="000000"/>
                <w:sz w:val="24"/>
                <w:highlight w:val="none"/>
                <w:lang w:eastAsia="zh-CN"/>
              </w:rPr>
            </w:pPr>
            <w:r>
              <w:rPr>
                <w:rFonts w:hint="eastAsia" w:ascii="宋体" w:hAnsi="宋体"/>
                <w:b/>
                <w:bCs/>
                <w:color w:val="000000"/>
                <w:sz w:val="24"/>
                <w:highlight w:val="none"/>
              </w:rPr>
              <w:t xml:space="preserve">   </w:t>
            </w:r>
            <w:r>
              <w:rPr>
                <w:rFonts w:hint="eastAsia" w:ascii="宋体" w:hAnsi="宋体"/>
                <w:b/>
                <w:bCs/>
                <w:color w:val="000000"/>
                <w:sz w:val="24"/>
                <w:highlight w:val="none"/>
                <w:lang w:eastAsia="zh-CN"/>
              </w:rPr>
              <w:t>备</w:t>
            </w:r>
            <w:r>
              <w:rPr>
                <w:rFonts w:hint="eastAsia" w:ascii="宋体" w:hAnsi="宋体"/>
                <w:b/>
                <w:bCs/>
                <w:color w:val="000000"/>
                <w:sz w:val="24"/>
                <w:highlight w:val="none"/>
                <w:lang w:val="en-US" w:eastAsia="zh-CN"/>
              </w:rPr>
              <w:t xml:space="preserve"> </w:t>
            </w:r>
            <w:r>
              <w:rPr>
                <w:rFonts w:hint="eastAsia" w:ascii="宋体" w:hAnsi="宋体"/>
                <w:b/>
                <w:bCs/>
                <w:color w:val="000000"/>
                <w:sz w:val="24"/>
                <w:highlight w:val="none"/>
                <w:lang w:eastAsia="zh-CN"/>
              </w:rPr>
              <w:t>注</w:t>
            </w:r>
          </w:p>
        </w:tc>
        <w:tc>
          <w:tcPr>
            <w:tcW w:w="7016"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topLinePunct w:val="0"/>
              <w:bidi w:val="0"/>
              <w:spacing w:line="360" w:lineRule="auto"/>
              <w:jc w:val="center"/>
              <w:rPr>
                <w:rFonts w:ascii="宋体" w:hAnsi="宋体"/>
                <w:b/>
                <w:bCs/>
                <w:color w:val="000000"/>
                <w:sz w:val="24"/>
                <w:highlight w:val="none"/>
              </w:rPr>
            </w:pPr>
          </w:p>
        </w:tc>
      </w:tr>
    </w:tbl>
    <w:p>
      <w:pPr>
        <w:pageBreakBefore w:val="0"/>
        <w:kinsoku/>
        <w:topLinePunct w:val="0"/>
        <w:bidi w:val="0"/>
        <w:spacing w:line="360" w:lineRule="auto"/>
        <w:rPr>
          <w:rFonts w:ascii="宋体" w:hAnsi="宋体"/>
          <w:b/>
          <w:bCs/>
          <w:color w:val="000000"/>
          <w:sz w:val="24"/>
          <w:highlight w:val="none"/>
        </w:rPr>
      </w:pPr>
    </w:p>
    <w:p>
      <w:pPr>
        <w:pageBreakBefore w:val="0"/>
        <w:kinsoku/>
        <w:topLinePunct w:val="0"/>
        <w:bidi w:val="0"/>
        <w:spacing w:line="360" w:lineRule="auto"/>
        <w:rPr>
          <w:rFonts w:ascii="宋体" w:hAnsi="宋体"/>
          <w:b/>
          <w:bCs/>
          <w:color w:val="000000"/>
          <w:sz w:val="24"/>
          <w:highlight w:val="none"/>
        </w:rPr>
      </w:pPr>
    </w:p>
    <w:p>
      <w:pPr>
        <w:pageBreakBefore w:val="0"/>
        <w:kinsoku/>
        <w:topLinePunct w:val="0"/>
        <w:bidi w:val="0"/>
        <w:spacing w:line="360" w:lineRule="auto"/>
        <w:rPr>
          <w:rFonts w:ascii="宋体" w:hAnsi="宋体"/>
          <w:b/>
          <w:bCs/>
          <w:color w:val="000000"/>
          <w:sz w:val="24"/>
          <w:highlight w:val="none"/>
        </w:rPr>
      </w:pPr>
    </w:p>
    <w:p>
      <w:pPr>
        <w:pageBreakBefore w:val="0"/>
        <w:kinsoku/>
        <w:topLinePunct w:val="0"/>
        <w:bidi w:val="0"/>
        <w:spacing w:line="360" w:lineRule="auto"/>
        <w:rPr>
          <w:rFonts w:ascii="宋体" w:hAnsi="宋体"/>
          <w:color w:val="000000"/>
          <w:sz w:val="20"/>
          <w:szCs w:val="20"/>
          <w:highlight w:val="none"/>
        </w:rPr>
      </w:pPr>
    </w:p>
    <w:p>
      <w:pPr>
        <w:pageBreakBefore w:val="0"/>
        <w:kinsoku/>
        <w:topLinePunct w:val="0"/>
        <w:bidi w:val="0"/>
        <w:spacing w:line="360" w:lineRule="auto"/>
        <w:rPr>
          <w:rFonts w:ascii="宋体" w:hAnsi="宋体"/>
          <w:color w:val="000000"/>
          <w:sz w:val="20"/>
          <w:szCs w:val="20"/>
          <w:highlight w:val="none"/>
        </w:rPr>
      </w:pPr>
    </w:p>
    <w:p>
      <w:pPr>
        <w:pageBreakBefore w:val="0"/>
        <w:kinsoku/>
        <w:topLinePunct w:val="0"/>
        <w:bidi w:val="0"/>
        <w:spacing w:line="360" w:lineRule="auto"/>
        <w:rPr>
          <w:rFonts w:ascii="宋体" w:hAnsi="宋体"/>
          <w:color w:val="000000"/>
          <w:sz w:val="20"/>
          <w:szCs w:val="20"/>
          <w:highlight w:val="none"/>
        </w:rPr>
      </w:pPr>
    </w:p>
    <w:p>
      <w:pPr>
        <w:pageBreakBefore w:val="0"/>
        <w:kinsoku/>
        <w:topLinePunct w:val="0"/>
        <w:bidi w:val="0"/>
        <w:spacing w:line="360" w:lineRule="auto"/>
        <w:ind w:right="1653"/>
        <w:jc w:val="right"/>
        <w:rPr>
          <w:rFonts w:ascii="宋体" w:hAnsi="宋体" w:cs="微软雅黑"/>
          <w:iCs/>
          <w:color w:val="000000"/>
          <w:szCs w:val="21"/>
          <w:highlight w:val="none"/>
          <w:u w:val="single"/>
        </w:rPr>
      </w:pPr>
      <w:r>
        <w:rPr>
          <w:rFonts w:hint="eastAsia" w:ascii="宋体" w:hAnsi="宋体" w:cs="微软雅黑"/>
          <w:color w:val="000000"/>
          <w:szCs w:val="21"/>
          <w:highlight w:val="none"/>
        </w:rPr>
        <w:t xml:space="preserve">                           </w:t>
      </w:r>
      <w:r>
        <w:rPr>
          <w:rFonts w:hint="eastAsia" w:ascii="宋体" w:hAnsi="宋体" w:cs="微软雅黑"/>
          <w:color w:val="000000"/>
          <w:szCs w:val="21"/>
          <w:highlight w:val="none"/>
          <w:lang w:eastAsia="zh-CN"/>
        </w:rPr>
        <w:t>供应商</w:t>
      </w:r>
      <w:r>
        <w:rPr>
          <w:rFonts w:hint="eastAsia" w:ascii="宋体" w:hAnsi="宋体" w:cs="微软雅黑"/>
          <w:color w:val="000000"/>
          <w:szCs w:val="21"/>
          <w:highlight w:val="none"/>
        </w:rPr>
        <w:t xml:space="preserve">名称（公章）： </w:t>
      </w:r>
    </w:p>
    <w:p>
      <w:pPr>
        <w:pageBreakBefore w:val="0"/>
        <w:kinsoku/>
        <w:topLinePunct w:val="0"/>
        <w:bidi w:val="0"/>
        <w:spacing w:line="360" w:lineRule="auto"/>
        <w:ind w:right="1653"/>
        <w:jc w:val="right"/>
        <w:rPr>
          <w:rFonts w:ascii="宋体" w:hAnsi="宋体" w:cs="微软雅黑"/>
          <w:color w:val="000000"/>
          <w:szCs w:val="21"/>
          <w:highlight w:val="none"/>
        </w:rPr>
      </w:pPr>
    </w:p>
    <w:p>
      <w:pPr>
        <w:pageBreakBefore w:val="0"/>
        <w:kinsoku/>
        <w:topLinePunct w:val="0"/>
        <w:bidi w:val="0"/>
        <w:spacing w:line="360" w:lineRule="auto"/>
        <w:ind w:right="1653"/>
        <w:jc w:val="right"/>
        <w:rPr>
          <w:rFonts w:ascii="宋体" w:hAnsi="宋体" w:cs="微软雅黑"/>
          <w:color w:val="000000"/>
          <w:szCs w:val="21"/>
          <w:highlight w:val="none"/>
        </w:rPr>
      </w:pPr>
      <w:r>
        <w:rPr>
          <w:rFonts w:ascii="宋体" w:hAnsi="宋体" w:cs="微软雅黑"/>
          <w:color w:val="000000"/>
          <w:szCs w:val="21"/>
          <w:highlight w:val="none"/>
        </w:rPr>
        <w:t>全权代表或法定代表人(签字):</w:t>
      </w:r>
    </w:p>
    <w:p>
      <w:pPr>
        <w:pageBreakBefore w:val="0"/>
        <w:kinsoku/>
        <w:topLinePunct w:val="0"/>
        <w:bidi w:val="0"/>
        <w:spacing w:before="6" w:line="360" w:lineRule="auto"/>
        <w:rPr>
          <w:rFonts w:ascii="宋体" w:hAnsi="宋体" w:cs="微软雅黑"/>
          <w:color w:val="000000"/>
          <w:szCs w:val="21"/>
          <w:highlight w:val="none"/>
        </w:rPr>
      </w:pPr>
    </w:p>
    <w:p>
      <w:pPr>
        <w:pageBreakBefore w:val="0"/>
        <w:tabs>
          <w:tab w:val="left" w:pos="560"/>
        </w:tabs>
        <w:kinsoku/>
        <w:topLinePunct w:val="0"/>
        <w:bidi w:val="0"/>
        <w:spacing w:line="360" w:lineRule="auto"/>
        <w:ind w:right="1650"/>
        <w:jc w:val="right"/>
        <w:rPr>
          <w:rFonts w:ascii="宋体" w:hAnsi="宋体" w:cs="微软雅黑"/>
          <w:color w:val="000000"/>
          <w:szCs w:val="21"/>
          <w:highlight w:val="none"/>
        </w:rPr>
      </w:pPr>
      <w:r>
        <w:rPr>
          <w:rFonts w:ascii="宋体" w:hAnsi="宋体" w:cs="微软雅黑"/>
          <w:color w:val="000000"/>
          <w:szCs w:val="21"/>
          <w:highlight w:val="none"/>
        </w:rPr>
        <w:t>日</w:t>
      </w:r>
      <w:r>
        <w:rPr>
          <w:rFonts w:ascii="宋体" w:hAnsi="宋体" w:cs="微软雅黑"/>
          <w:color w:val="000000"/>
          <w:szCs w:val="21"/>
          <w:highlight w:val="none"/>
        </w:rPr>
        <w:tab/>
      </w:r>
      <w:r>
        <w:rPr>
          <w:rFonts w:ascii="宋体" w:hAnsi="宋体" w:cs="微软雅黑"/>
          <w:color w:val="000000"/>
          <w:szCs w:val="21"/>
          <w:highlight w:val="none"/>
        </w:rPr>
        <w:t>期：</w:t>
      </w:r>
    </w:p>
    <w:p>
      <w:pPr>
        <w:pageBreakBefore w:val="0"/>
        <w:kinsoku/>
        <w:topLinePunct w:val="0"/>
        <w:bidi w:val="0"/>
        <w:spacing w:line="360" w:lineRule="auto"/>
        <w:rPr>
          <w:rFonts w:ascii="宋体" w:hAnsi="宋体"/>
          <w:color w:val="000000"/>
          <w:sz w:val="20"/>
          <w:szCs w:val="20"/>
          <w:highlight w:val="none"/>
        </w:rPr>
      </w:pPr>
    </w:p>
    <w:p>
      <w:pPr>
        <w:pageBreakBefore w:val="0"/>
        <w:kinsoku/>
        <w:topLinePunct w:val="0"/>
        <w:bidi w:val="0"/>
        <w:spacing w:line="360" w:lineRule="auto"/>
        <w:rPr>
          <w:rFonts w:ascii="宋体" w:hAnsi="宋体"/>
          <w:color w:val="000000"/>
          <w:sz w:val="20"/>
          <w:szCs w:val="20"/>
          <w:highlight w:val="none"/>
        </w:rPr>
      </w:pPr>
    </w:p>
    <w:p>
      <w:pPr>
        <w:pageBreakBefore w:val="0"/>
        <w:kinsoku/>
        <w:topLinePunct w:val="0"/>
        <w:bidi w:val="0"/>
        <w:spacing w:line="360" w:lineRule="auto"/>
        <w:rPr>
          <w:rFonts w:ascii="宋体" w:hAnsi="宋体"/>
          <w:color w:val="000000"/>
          <w:sz w:val="20"/>
          <w:szCs w:val="20"/>
          <w:highlight w:val="none"/>
        </w:rPr>
      </w:pPr>
    </w:p>
    <w:p>
      <w:pPr>
        <w:pageBreakBefore w:val="0"/>
        <w:kinsoku/>
        <w:topLinePunct w:val="0"/>
        <w:bidi w:val="0"/>
        <w:spacing w:line="360" w:lineRule="auto"/>
        <w:rPr>
          <w:rFonts w:ascii="宋体" w:hAnsi="宋体"/>
          <w:color w:val="000000"/>
          <w:sz w:val="20"/>
          <w:szCs w:val="20"/>
          <w:highlight w:val="none"/>
        </w:rPr>
      </w:pPr>
    </w:p>
    <w:p>
      <w:pPr>
        <w:pageBreakBefore w:val="0"/>
        <w:kinsoku/>
        <w:topLinePunct w:val="0"/>
        <w:bidi w:val="0"/>
        <w:spacing w:line="360" w:lineRule="auto"/>
        <w:rPr>
          <w:rFonts w:ascii="宋体" w:hAnsi="宋体"/>
          <w:color w:val="000000"/>
          <w:szCs w:val="21"/>
          <w:highlight w:val="none"/>
        </w:rPr>
      </w:pPr>
    </w:p>
    <w:p>
      <w:pPr>
        <w:pageBreakBefore w:val="0"/>
        <w:kinsoku/>
        <w:topLinePunct w:val="0"/>
        <w:bidi w:val="0"/>
        <w:spacing w:line="360" w:lineRule="auto"/>
        <w:ind w:left="153" w:right="74"/>
        <w:rPr>
          <w:rFonts w:ascii="宋体" w:hAnsi="宋体" w:cs="微软雅黑"/>
          <w:color w:val="000000"/>
          <w:sz w:val="24"/>
          <w:highlight w:val="none"/>
        </w:rPr>
      </w:pPr>
      <w:r>
        <w:rPr>
          <w:rFonts w:ascii="宋体" w:hAnsi="宋体" w:cs="微软雅黑"/>
          <w:color w:val="000000"/>
          <w:sz w:val="24"/>
          <w:highlight w:val="none"/>
        </w:rPr>
        <w:t>说明</w:t>
      </w:r>
      <w:r>
        <w:rPr>
          <w:rFonts w:ascii="宋体" w:hAnsi="宋体" w:cs="微软雅黑"/>
          <w:color w:val="000000"/>
          <w:spacing w:val="-14"/>
          <w:sz w:val="24"/>
          <w:highlight w:val="none"/>
        </w:rPr>
        <w:t>：</w:t>
      </w:r>
      <w:r>
        <w:rPr>
          <w:rFonts w:ascii="宋体" w:hAnsi="宋体"/>
          <w:color w:val="000000"/>
          <w:sz w:val="24"/>
          <w:highlight w:val="none"/>
        </w:rPr>
        <w:t>1</w:t>
      </w:r>
      <w:r>
        <w:rPr>
          <w:rFonts w:ascii="宋体" w:hAnsi="宋体" w:cs="微软雅黑"/>
          <w:color w:val="000000"/>
          <w:spacing w:val="-14"/>
          <w:sz w:val="24"/>
          <w:highlight w:val="none"/>
        </w:rPr>
        <w:t>、</w:t>
      </w:r>
      <w:r>
        <w:rPr>
          <w:rFonts w:ascii="宋体" w:hAnsi="宋体" w:cs="微软雅黑"/>
          <w:color w:val="000000"/>
          <w:sz w:val="24"/>
          <w:highlight w:val="none"/>
        </w:rPr>
        <w:t>本表价格</w:t>
      </w:r>
      <w:r>
        <w:rPr>
          <w:rFonts w:ascii="宋体" w:hAnsi="宋体" w:cs="微软雅黑"/>
          <w:color w:val="000000"/>
          <w:spacing w:val="2"/>
          <w:sz w:val="24"/>
          <w:highlight w:val="none"/>
        </w:rPr>
        <w:t>一</w:t>
      </w:r>
      <w:r>
        <w:rPr>
          <w:rFonts w:ascii="宋体" w:hAnsi="宋体" w:cs="微软雅黑"/>
          <w:color w:val="000000"/>
          <w:sz w:val="24"/>
          <w:highlight w:val="none"/>
        </w:rPr>
        <w:t>栏空白</w:t>
      </w:r>
      <w:r>
        <w:rPr>
          <w:rFonts w:ascii="宋体" w:hAnsi="宋体" w:cs="微软雅黑"/>
          <w:color w:val="000000"/>
          <w:spacing w:val="-14"/>
          <w:sz w:val="24"/>
          <w:highlight w:val="none"/>
        </w:rPr>
        <w:t>，</w:t>
      </w:r>
      <w:r>
        <w:rPr>
          <w:rFonts w:ascii="宋体" w:hAnsi="宋体" w:cs="微软雅黑"/>
          <w:color w:val="000000"/>
          <w:sz w:val="24"/>
          <w:highlight w:val="none"/>
        </w:rPr>
        <w:t>落款处</w:t>
      </w:r>
      <w:r>
        <w:rPr>
          <w:rFonts w:hint="eastAsia" w:ascii="宋体" w:hAnsi="宋体" w:cs="微软雅黑"/>
          <w:color w:val="000000"/>
          <w:sz w:val="24"/>
          <w:highlight w:val="none"/>
          <w:lang w:eastAsia="zh-CN"/>
        </w:rPr>
        <w:t>供应商</w:t>
      </w:r>
      <w:r>
        <w:rPr>
          <w:rFonts w:ascii="宋体" w:hAnsi="宋体" w:cs="微软雅黑"/>
          <w:color w:val="000000"/>
          <w:sz w:val="24"/>
          <w:highlight w:val="none"/>
        </w:rPr>
        <w:t>名</w:t>
      </w:r>
      <w:r>
        <w:rPr>
          <w:rFonts w:ascii="宋体" w:hAnsi="宋体" w:cs="微软雅黑"/>
          <w:color w:val="000000"/>
          <w:spacing w:val="-14"/>
          <w:sz w:val="24"/>
          <w:highlight w:val="none"/>
        </w:rPr>
        <w:t>称</w:t>
      </w:r>
      <w:r>
        <w:rPr>
          <w:rFonts w:ascii="宋体" w:hAnsi="宋体" w:cs="微软雅黑"/>
          <w:color w:val="000000"/>
          <w:sz w:val="24"/>
          <w:highlight w:val="none"/>
        </w:rPr>
        <w:t>（盖章</w:t>
      </w:r>
      <w:r>
        <w:rPr>
          <w:rFonts w:ascii="宋体" w:hAnsi="宋体" w:cs="微软雅黑"/>
          <w:color w:val="000000"/>
          <w:spacing w:val="-14"/>
          <w:sz w:val="24"/>
          <w:highlight w:val="none"/>
        </w:rPr>
        <w:t>）</w:t>
      </w:r>
      <w:r>
        <w:rPr>
          <w:rFonts w:ascii="宋体" w:hAnsi="宋体" w:cs="微软雅黑"/>
          <w:color w:val="000000"/>
          <w:sz w:val="24"/>
          <w:highlight w:val="none"/>
        </w:rPr>
        <w:t>处由</w:t>
      </w:r>
      <w:r>
        <w:rPr>
          <w:rFonts w:hint="eastAsia" w:ascii="宋体" w:hAnsi="宋体" w:cs="微软雅黑"/>
          <w:color w:val="000000"/>
          <w:sz w:val="24"/>
          <w:highlight w:val="none"/>
          <w:lang w:eastAsia="zh-CN"/>
        </w:rPr>
        <w:t>供应商</w:t>
      </w:r>
      <w:r>
        <w:rPr>
          <w:rFonts w:ascii="宋体" w:hAnsi="宋体" w:cs="微软雅黑"/>
          <w:color w:val="000000"/>
          <w:sz w:val="24"/>
          <w:highlight w:val="none"/>
        </w:rPr>
        <w:t>事先加盖公章</w:t>
      </w:r>
      <w:r>
        <w:rPr>
          <w:rFonts w:ascii="宋体" w:hAnsi="宋体" w:cs="微软雅黑"/>
          <w:color w:val="000000"/>
          <w:spacing w:val="-14"/>
          <w:sz w:val="24"/>
          <w:highlight w:val="none"/>
        </w:rPr>
        <w:t>，</w:t>
      </w:r>
      <w:r>
        <w:rPr>
          <w:rFonts w:ascii="宋体" w:hAnsi="宋体" w:cs="微软雅黑"/>
          <w:color w:val="000000"/>
          <w:sz w:val="24"/>
          <w:highlight w:val="none"/>
        </w:rPr>
        <w:t>单独准备</w:t>
      </w:r>
      <w:r>
        <w:rPr>
          <w:rFonts w:hint="eastAsia" w:ascii="宋体" w:hAnsi="宋体" w:cs="微软雅黑"/>
          <w:color w:val="000000"/>
          <w:sz w:val="24"/>
          <w:highlight w:val="none"/>
        </w:rPr>
        <w:t>至少3</w:t>
      </w:r>
      <w:r>
        <w:rPr>
          <w:rFonts w:ascii="宋体" w:hAnsi="宋体" w:cs="微软雅黑"/>
          <w:color w:val="000000"/>
          <w:sz w:val="24"/>
          <w:highlight w:val="none"/>
        </w:rPr>
        <w:t>份</w:t>
      </w:r>
      <w:r>
        <w:rPr>
          <w:rFonts w:hint="eastAsia" w:ascii="宋体" w:hAnsi="宋体" w:cs="微软雅黑"/>
          <w:color w:val="000000"/>
          <w:sz w:val="24"/>
          <w:highlight w:val="none"/>
        </w:rPr>
        <w:t>（</w:t>
      </w:r>
      <w:r>
        <w:rPr>
          <w:rFonts w:hint="eastAsia" w:ascii="宋体" w:hAnsi="宋体" w:cs="微软雅黑"/>
          <w:color w:val="000000"/>
          <w:sz w:val="24"/>
          <w:highlight w:val="none"/>
          <w:lang w:eastAsia="zh-CN"/>
        </w:rPr>
        <w:t>供应商</w:t>
      </w:r>
      <w:r>
        <w:rPr>
          <w:rFonts w:hint="eastAsia" w:ascii="宋体" w:hAnsi="宋体" w:cs="微软雅黑"/>
          <w:color w:val="000000"/>
          <w:sz w:val="24"/>
          <w:highlight w:val="none"/>
        </w:rPr>
        <w:t>应尽量避免书写错误，并准备充足数量的本表格）</w:t>
      </w:r>
      <w:r>
        <w:rPr>
          <w:rFonts w:ascii="宋体" w:hAnsi="宋体" w:cs="微软雅黑"/>
          <w:color w:val="000000"/>
          <w:sz w:val="24"/>
          <w:highlight w:val="none"/>
        </w:rPr>
        <w:t>，不与竞争性</w:t>
      </w:r>
      <w:r>
        <w:rPr>
          <w:rFonts w:hint="eastAsia" w:ascii="宋体" w:hAnsi="宋体" w:cs="微软雅黑"/>
          <w:color w:val="000000"/>
          <w:sz w:val="24"/>
          <w:highlight w:val="none"/>
        </w:rPr>
        <w:t>磋商</w:t>
      </w:r>
      <w:r>
        <w:rPr>
          <w:rFonts w:ascii="宋体" w:hAnsi="宋体" w:cs="微软雅黑"/>
          <w:color w:val="000000"/>
          <w:sz w:val="24"/>
          <w:highlight w:val="none"/>
        </w:rPr>
        <w:t>响应文件一同装订，由</w:t>
      </w:r>
      <w:r>
        <w:rPr>
          <w:rFonts w:hint="eastAsia" w:ascii="宋体" w:hAnsi="宋体" w:cs="微软雅黑"/>
          <w:color w:val="000000"/>
          <w:sz w:val="24"/>
          <w:highlight w:val="none"/>
          <w:lang w:eastAsia="zh-CN"/>
        </w:rPr>
        <w:t>供应商</w:t>
      </w:r>
      <w:r>
        <w:rPr>
          <w:rFonts w:ascii="宋体" w:hAnsi="宋体" w:cs="微软雅黑"/>
          <w:color w:val="000000"/>
          <w:sz w:val="24"/>
          <w:highlight w:val="none"/>
        </w:rPr>
        <w:t>代表随身携带至</w:t>
      </w:r>
      <w:r>
        <w:rPr>
          <w:rFonts w:hint="eastAsia" w:ascii="宋体" w:hAnsi="宋体" w:cs="微软雅黑"/>
          <w:color w:val="000000"/>
          <w:sz w:val="24"/>
          <w:highlight w:val="none"/>
        </w:rPr>
        <w:t>磋商</w:t>
      </w:r>
      <w:r>
        <w:rPr>
          <w:rFonts w:ascii="宋体" w:hAnsi="宋体" w:cs="微软雅黑"/>
          <w:color w:val="000000"/>
          <w:sz w:val="24"/>
          <w:highlight w:val="none"/>
        </w:rPr>
        <w:t>现场；</w:t>
      </w:r>
    </w:p>
    <w:p>
      <w:pPr>
        <w:pageBreakBefore w:val="0"/>
        <w:kinsoku/>
        <w:topLinePunct w:val="0"/>
        <w:bidi w:val="0"/>
        <w:spacing w:line="360" w:lineRule="auto"/>
        <w:ind w:left="153" w:right="74"/>
        <w:rPr>
          <w:rFonts w:ascii="宋体" w:hAnsi="宋体" w:cs="微软雅黑"/>
          <w:color w:val="000000"/>
          <w:sz w:val="24"/>
          <w:highlight w:val="none"/>
        </w:rPr>
      </w:pPr>
      <w:r>
        <w:rPr>
          <w:rFonts w:ascii="宋体" w:hAnsi="宋体"/>
          <w:color w:val="000000"/>
          <w:sz w:val="24"/>
          <w:highlight w:val="none"/>
        </w:rPr>
        <w:t>2</w:t>
      </w:r>
      <w:r>
        <w:rPr>
          <w:rFonts w:ascii="宋体" w:hAnsi="宋体" w:cs="微软雅黑"/>
          <w:color w:val="000000"/>
          <w:sz w:val="24"/>
          <w:highlight w:val="none"/>
        </w:rPr>
        <w:t>、本表中</w:t>
      </w:r>
      <w:r>
        <w:rPr>
          <w:rFonts w:hint="eastAsia" w:ascii="宋体" w:hAnsi="宋体" w:cs="微软雅黑"/>
          <w:color w:val="000000"/>
          <w:sz w:val="24"/>
          <w:highlight w:val="none"/>
        </w:rPr>
        <w:t>磋商</w:t>
      </w:r>
      <w:r>
        <w:rPr>
          <w:rFonts w:ascii="宋体" w:hAnsi="宋体" w:cs="微软雅黑"/>
          <w:color w:val="000000"/>
          <w:sz w:val="24"/>
          <w:highlight w:val="none"/>
        </w:rPr>
        <w:t>报价在开标后，由</w:t>
      </w:r>
      <w:r>
        <w:rPr>
          <w:rFonts w:hint="eastAsia" w:ascii="宋体" w:hAnsi="宋体" w:cs="微软雅黑"/>
          <w:color w:val="000000"/>
          <w:sz w:val="24"/>
          <w:highlight w:val="none"/>
          <w:lang w:eastAsia="zh-CN"/>
        </w:rPr>
        <w:t>供应商</w:t>
      </w:r>
      <w:r>
        <w:rPr>
          <w:rFonts w:ascii="宋体" w:hAnsi="宋体" w:cs="微软雅黑"/>
          <w:color w:val="000000"/>
          <w:sz w:val="24"/>
          <w:highlight w:val="none"/>
        </w:rPr>
        <w:t>根据现场开标情况，在</w:t>
      </w:r>
      <w:r>
        <w:rPr>
          <w:rFonts w:hint="eastAsia" w:ascii="宋体" w:hAnsi="宋体" w:cs="微软雅黑"/>
          <w:color w:val="000000"/>
          <w:sz w:val="24"/>
          <w:highlight w:val="none"/>
        </w:rPr>
        <w:t>磋商</w:t>
      </w:r>
      <w:r>
        <w:rPr>
          <w:rFonts w:ascii="宋体" w:hAnsi="宋体" w:cs="微软雅黑"/>
          <w:color w:val="000000"/>
          <w:sz w:val="24"/>
          <w:highlight w:val="none"/>
        </w:rPr>
        <w:t>现场手工填写作为</w:t>
      </w:r>
      <w:r>
        <w:rPr>
          <w:rFonts w:hint="eastAsia" w:ascii="宋体" w:hAnsi="宋体" w:cs="微软雅黑"/>
          <w:color w:val="000000"/>
          <w:sz w:val="24"/>
          <w:highlight w:val="none"/>
          <w:lang w:eastAsia="zh-CN"/>
        </w:rPr>
        <w:t>供应商</w:t>
      </w:r>
      <w:r>
        <w:rPr>
          <w:rFonts w:ascii="宋体" w:hAnsi="宋体" w:cs="微软雅黑"/>
          <w:color w:val="000000"/>
          <w:sz w:val="24"/>
          <w:highlight w:val="none"/>
        </w:rPr>
        <w:t>对本项目的最终报价。</w:t>
      </w:r>
    </w:p>
    <w:p>
      <w:pPr>
        <w:pageBreakBefore w:val="0"/>
        <w:kinsoku/>
        <w:topLinePunct w:val="0"/>
        <w:bidi w:val="0"/>
        <w:spacing w:line="360" w:lineRule="auto"/>
        <w:ind w:firstLine="482" w:firstLineChars="200"/>
        <w:rPr>
          <w:rFonts w:hint="eastAsia"/>
          <w:b/>
          <w:bCs/>
          <w:color w:val="000000"/>
          <w:sz w:val="24"/>
          <w:highlight w:val="none"/>
        </w:rPr>
        <w:sectPr>
          <w:pgSz w:w="11906" w:h="16838"/>
          <w:pgMar w:top="1247" w:right="1247" w:bottom="1134" w:left="1644" w:header="851" w:footer="850" w:gutter="0"/>
          <w:pgNumType w:fmt="decimal"/>
          <w:cols w:space="708" w:num="1"/>
          <w:titlePg/>
          <w:docGrid w:type="lines" w:linePitch="321" w:charSpace="0"/>
        </w:sectPr>
      </w:pPr>
    </w:p>
    <w:p>
      <w:pPr>
        <w:pageBreakBefore w:val="0"/>
        <w:kinsoku/>
        <w:topLinePunct w:val="0"/>
        <w:bidi w:val="0"/>
        <w:spacing w:line="360" w:lineRule="auto"/>
        <w:ind w:firstLine="562" w:firstLineChars="200"/>
        <w:rPr>
          <w:rFonts w:hint="eastAsia"/>
          <w:b/>
          <w:bCs/>
          <w:color w:val="000000"/>
          <w:sz w:val="28"/>
          <w:szCs w:val="28"/>
          <w:highlight w:val="none"/>
        </w:rPr>
      </w:pPr>
      <w:r>
        <w:rPr>
          <w:rFonts w:hint="eastAsia"/>
          <w:b/>
          <w:bCs/>
          <w:color w:val="000000"/>
          <w:sz w:val="28"/>
          <w:szCs w:val="28"/>
          <w:highlight w:val="none"/>
        </w:rPr>
        <w:t>附件1：审查表</w:t>
      </w:r>
    </w:p>
    <w:p>
      <w:pPr>
        <w:pageBreakBefore w:val="0"/>
        <w:kinsoku/>
        <w:topLinePunct w:val="0"/>
        <w:bidi w:val="0"/>
        <w:spacing w:line="360" w:lineRule="auto"/>
        <w:ind w:firstLine="562" w:firstLineChars="200"/>
        <w:rPr>
          <w:rFonts w:hint="eastAsia"/>
          <w:b/>
          <w:bCs/>
          <w:color w:val="000000"/>
          <w:sz w:val="28"/>
          <w:szCs w:val="28"/>
          <w:highlight w:val="none"/>
        </w:rPr>
      </w:pPr>
    </w:p>
    <w:p>
      <w:pPr>
        <w:pageBreakBefore w:val="0"/>
        <w:kinsoku/>
        <w:topLinePunct w:val="0"/>
        <w:bidi w:val="0"/>
        <w:spacing w:line="360" w:lineRule="auto"/>
        <w:jc w:val="center"/>
        <w:rPr>
          <w:rFonts w:hint="eastAsia" w:ascii="宋体" w:hAnsi="宋体" w:cs="宋体"/>
          <w:b/>
          <w:color w:val="000000"/>
          <w:sz w:val="36"/>
          <w:szCs w:val="36"/>
          <w:highlight w:val="none"/>
        </w:rPr>
      </w:pPr>
      <w:r>
        <w:rPr>
          <w:rFonts w:hint="eastAsia" w:ascii="宋体" w:hAnsi="宋体" w:cs="宋体"/>
          <w:b/>
          <w:color w:val="000000"/>
          <w:sz w:val="36"/>
          <w:szCs w:val="36"/>
          <w:highlight w:val="none"/>
        </w:rPr>
        <w:t>资格性、符合性审查</w:t>
      </w:r>
    </w:p>
    <w:p>
      <w:pPr>
        <w:pageBreakBefore w:val="0"/>
        <w:kinsoku/>
        <w:topLinePunct w:val="0"/>
        <w:bidi w:val="0"/>
        <w:spacing w:line="360" w:lineRule="auto"/>
        <w:jc w:val="center"/>
        <w:rPr>
          <w:rFonts w:hint="eastAsia" w:ascii="宋体" w:hAnsi="宋体" w:cs="宋体"/>
          <w:b/>
          <w:color w:val="000000"/>
          <w:sz w:val="36"/>
          <w:szCs w:val="36"/>
          <w:highlight w:val="none"/>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524"/>
        <w:gridCol w:w="4138"/>
        <w:gridCol w:w="540"/>
        <w:gridCol w:w="540"/>
        <w:gridCol w:w="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7" w:type="dxa"/>
            <w:vMerge w:val="restart"/>
            <w:tcBorders>
              <w:top w:val="single" w:color="auto" w:sz="4" w:space="0"/>
              <w:left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b/>
                <w:color w:val="000000"/>
                <w:sz w:val="24"/>
                <w:highlight w:val="none"/>
              </w:rPr>
            </w:pPr>
            <w:r>
              <w:rPr>
                <w:rFonts w:hint="eastAsia" w:ascii="宋体" w:hAnsi="宋体" w:cs="宋体"/>
                <w:b/>
                <w:color w:val="000000"/>
                <w:sz w:val="24"/>
                <w:highlight w:val="none"/>
              </w:rPr>
              <w:t>序号</w:t>
            </w:r>
          </w:p>
        </w:tc>
        <w:tc>
          <w:tcPr>
            <w:tcW w:w="2524" w:type="dxa"/>
            <w:vMerge w:val="restart"/>
            <w:tcBorders>
              <w:top w:val="single" w:color="auto" w:sz="4" w:space="0"/>
              <w:left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b/>
                <w:color w:val="000000"/>
                <w:sz w:val="24"/>
                <w:highlight w:val="none"/>
              </w:rPr>
            </w:pPr>
            <w:r>
              <w:rPr>
                <w:rFonts w:hint="eastAsia" w:ascii="宋体" w:hAnsi="宋体" w:cs="宋体"/>
                <w:b/>
                <w:color w:val="000000"/>
                <w:sz w:val="24"/>
                <w:highlight w:val="none"/>
              </w:rPr>
              <w:t>审查项目</w:t>
            </w:r>
          </w:p>
        </w:tc>
        <w:tc>
          <w:tcPr>
            <w:tcW w:w="4138" w:type="dxa"/>
            <w:vMerge w:val="restart"/>
            <w:tcBorders>
              <w:top w:val="single" w:color="auto" w:sz="4" w:space="0"/>
              <w:left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b/>
                <w:color w:val="000000"/>
                <w:sz w:val="24"/>
                <w:highlight w:val="none"/>
              </w:rPr>
            </w:pPr>
            <w:r>
              <w:rPr>
                <w:rFonts w:hint="eastAsia" w:ascii="宋体" w:hAnsi="宋体" w:cs="宋体"/>
                <w:b/>
                <w:color w:val="000000"/>
                <w:sz w:val="24"/>
                <w:highlight w:val="none"/>
              </w:rPr>
              <w:t>有效投标认定条件</w:t>
            </w:r>
          </w:p>
        </w:tc>
        <w:tc>
          <w:tcPr>
            <w:tcW w:w="162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eastAsia="宋体" w:cs="宋体"/>
                <w:b/>
                <w:color w:val="000000"/>
                <w:sz w:val="24"/>
                <w:highlight w:val="none"/>
                <w:lang w:eastAsia="zh-CN"/>
              </w:rPr>
            </w:pPr>
            <w:r>
              <w:rPr>
                <w:rFonts w:hint="eastAsia" w:ascii="宋体" w:hAnsi="宋体" w:cs="宋体"/>
                <w:b/>
                <w:color w:val="000000"/>
                <w:sz w:val="24"/>
                <w:highlight w:val="none"/>
                <w:lang w:eastAsia="zh-CN"/>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17" w:type="dxa"/>
            <w:vMerge w:val="continue"/>
            <w:tcBorders>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b/>
                <w:color w:val="000000"/>
                <w:sz w:val="24"/>
                <w:highlight w:val="none"/>
              </w:rPr>
            </w:pPr>
          </w:p>
        </w:tc>
        <w:tc>
          <w:tcPr>
            <w:tcW w:w="2524" w:type="dxa"/>
            <w:vMerge w:val="continue"/>
            <w:tcBorders>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b/>
                <w:color w:val="000000"/>
                <w:sz w:val="24"/>
                <w:highlight w:val="none"/>
              </w:rPr>
            </w:pPr>
          </w:p>
        </w:tc>
        <w:tc>
          <w:tcPr>
            <w:tcW w:w="4138" w:type="dxa"/>
            <w:vMerge w:val="continue"/>
            <w:tcBorders>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b/>
                <w:color w:val="000000"/>
                <w:sz w:val="24"/>
                <w:highlight w:val="none"/>
              </w:rPr>
            </w:pPr>
          </w:p>
        </w:tc>
        <w:tc>
          <w:tcPr>
            <w:tcW w:w="540"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b/>
                <w:color w:val="000000"/>
                <w:sz w:val="24"/>
                <w:highlight w:val="none"/>
              </w:rPr>
            </w:pPr>
            <w:r>
              <w:rPr>
                <w:rFonts w:hint="eastAsia" w:ascii="宋体" w:hAnsi="宋体" w:cs="宋体"/>
                <w:b/>
                <w:color w:val="000000"/>
                <w:sz w:val="24"/>
                <w:highlight w:val="none"/>
              </w:rPr>
              <w:t>1#</w:t>
            </w:r>
          </w:p>
        </w:tc>
        <w:tc>
          <w:tcPr>
            <w:tcW w:w="540"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b/>
                <w:color w:val="000000"/>
                <w:sz w:val="24"/>
                <w:highlight w:val="none"/>
              </w:rPr>
            </w:pPr>
            <w:r>
              <w:rPr>
                <w:rFonts w:hint="eastAsia" w:ascii="宋体" w:hAnsi="宋体" w:cs="宋体"/>
                <w:b/>
                <w:color w:val="000000"/>
                <w:sz w:val="24"/>
                <w:highlight w:val="none"/>
              </w:rPr>
              <w:t>2#</w:t>
            </w:r>
          </w:p>
        </w:tc>
        <w:tc>
          <w:tcPr>
            <w:tcW w:w="549"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b/>
                <w:color w:val="000000"/>
                <w:sz w:val="24"/>
                <w:highlight w:val="none"/>
              </w:rPr>
            </w:pPr>
            <w:r>
              <w:rPr>
                <w:rFonts w:hint="eastAsia" w:ascii="宋体" w:hAnsi="宋体" w:cs="宋体"/>
                <w:b/>
                <w:color w:val="000000"/>
                <w:sz w:val="24"/>
                <w:highlight w:val="none"/>
                <w:lang w:val="en-US" w:eastAsia="zh-CN"/>
              </w:rPr>
              <w:t>3</w:t>
            </w:r>
            <w:r>
              <w:rPr>
                <w:rFonts w:hint="eastAsia" w:ascii="宋体" w:hAnsi="宋体" w:cs="宋体"/>
                <w:b/>
                <w:color w:val="00000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817"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color w:val="000000"/>
                <w:sz w:val="24"/>
                <w:highlight w:val="none"/>
              </w:rPr>
            </w:pPr>
            <w:r>
              <w:rPr>
                <w:rFonts w:hint="eastAsia" w:ascii="宋体" w:hAnsi="宋体" w:cs="宋体"/>
                <w:color w:val="000000"/>
                <w:sz w:val="24"/>
                <w:highlight w:val="none"/>
              </w:rPr>
              <w:t>1</w:t>
            </w:r>
          </w:p>
        </w:tc>
        <w:tc>
          <w:tcPr>
            <w:tcW w:w="2524"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rPr>
                <w:rFonts w:hint="eastAsia" w:ascii="宋体" w:hAnsi="宋体" w:cs="宋体"/>
                <w:color w:val="000000"/>
                <w:sz w:val="24"/>
                <w:highlight w:val="none"/>
              </w:rPr>
            </w:pPr>
            <w:r>
              <w:rPr>
                <w:rFonts w:hint="eastAsia" w:ascii="宋体" w:hAnsi="宋体" w:cs="宋体"/>
                <w:color w:val="000000"/>
                <w:sz w:val="24"/>
                <w:highlight w:val="none"/>
                <w:lang w:eastAsia="zh-CN"/>
              </w:rPr>
              <w:t>供应商</w:t>
            </w:r>
            <w:r>
              <w:rPr>
                <w:rFonts w:hint="eastAsia" w:ascii="宋体" w:hAnsi="宋体" w:cs="宋体"/>
                <w:color w:val="000000"/>
                <w:sz w:val="24"/>
                <w:highlight w:val="none"/>
              </w:rPr>
              <w:t>的资格</w:t>
            </w:r>
          </w:p>
        </w:tc>
        <w:tc>
          <w:tcPr>
            <w:tcW w:w="4138"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rPr>
                <w:rFonts w:hint="eastAsia" w:ascii="宋体" w:hAnsi="宋体" w:cs="宋体"/>
                <w:color w:val="000000"/>
                <w:sz w:val="24"/>
                <w:highlight w:val="none"/>
              </w:rPr>
            </w:pPr>
            <w:r>
              <w:rPr>
                <w:rFonts w:hint="eastAsia" w:ascii="宋体" w:hAnsi="宋体" w:cs="宋体"/>
                <w:color w:val="000000"/>
                <w:sz w:val="24"/>
                <w:highlight w:val="none"/>
              </w:rPr>
              <w:t>符合磋商文件对</w:t>
            </w:r>
            <w:r>
              <w:rPr>
                <w:rFonts w:hint="eastAsia" w:ascii="宋体" w:hAnsi="宋体" w:cs="宋体"/>
                <w:color w:val="000000"/>
                <w:sz w:val="24"/>
                <w:highlight w:val="none"/>
                <w:lang w:eastAsia="zh-CN"/>
              </w:rPr>
              <w:t>供应商</w:t>
            </w:r>
            <w:r>
              <w:rPr>
                <w:rFonts w:hint="eastAsia" w:ascii="宋体" w:hAnsi="宋体" w:cs="宋体"/>
                <w:color w:val="000000"/>
                <w:sz w:val="24"/>
                <w:highlight w:val="none"/>
              </w:rPr>
              <w:t>资格的要求</w:t>
            </w:r>
          </w:p>
        </w:tc>
        <w:tc>
          <w:tcPr>
            <w:tcW w:w="540"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b/>
                <w:color w:val="000000"/>
                <w:sz w:val="24"/>
                <w:highlight w:val="none"/>
              </w:rPr>
            </w:pPr>
          </w:p>
        </w:tc>
        <w:tc>
          <w:tcPr>
            <w:tcW w:w="540"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b/>
                <w:color w:val="000000"/>
                <w:sz w:val="24"/>
                <w:highlight w:val="none"/>
              </w:rPr>
            </w:pPr>
          </w:p>
        </w:tc>
        <w:tc>
          <w:tcPr>
            <w:tcW w:w="549"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b/>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817"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color w:val="000000"/>
                <w:sz w:val="24"/>
                <w:highlight w:val="none"/>
              </w:rPr>
            </w:pPr>
            <w:r>
              <w:rPr>
                <w:rFonts w:hint="eastAsia" w:ascii="宋体" w:hAnsi="宋体" w:cs="宋体"/>
                <w:color w:val="000000"/>
                <w:sz w:val="24"/>
                <w:highlight w:val="none"/>
              </w:rPr>
              <w:t>2</w:t>
            </w:r>
          </w:p>
        </w:tc>
        <w:tc>
          <w:tcPr>
            <w:tcW w:w="2524"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rPr>
                <w:rFonts w:hint="eastAsia" w:ascii="宋体" w:hAnsi="宋体" w:cs="宋体"/>
                <w:color w:val="000000"/>
                <w:sz w:val="24"/>
                <w:highlight w:val="none"/>
              </w:rPr>
            </w:pPr>
            <w:r>
              <w:rPr>
                <w:rFonts w:hint="eastAsia" w:ascii="宋体" w:hAnsi="宋体" w:cs="宋体"/>
                <w:color w:val="000000"/>
                <w:sz w:val="24"/>
                <w:highlight w:val="none"/>
              </w:rPr>
              <w:t>投标文件递交</w:t>
            </w:r>
          </w:p>
        </w:tc>
        <w:tc>
          <w:tcPr>
            <w:tcW w:w="4138"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rPr>
                <w:rFonts w:hint="eastAsia" w:ascii="宋体" w:hAnsi="宋体" w:cs="宋体"/>
                <w:color w:val="000000"/>
                <w:sz w:val="24"/>
                <w:highlight w:val="none"/>
              </w:rPr>
            </w:pPr>
            <w:r>
              <w:rPr>
                <w:rFonts w:hint="eastAsia" w:ascii="宋体" w:hAnsi="宋体" w:cs="宋体"/>
                <w:color w:val="000000"/>
                <w:sz w:val="24"/>
                <w:highlight w:val="none"/>
              </w:rPr>
              <w:t>一份正本，</w:t>
            </w:r>
            <w:r>
              <w:rPr>
                <w:rFonts w:hint="eastAsia" w:ascii="宋体" w:hAnsi="宋体" w:cs="宋体"/>
                <w:color w:val="000000"/>
                <w:sz w:val="24"/>
                <w:highlight w:val="none"/>
                <w:lang w:val="en-US" w:eastAsia="zh-CN"/>
              </w:rPr>
              <w:t>二</w:t>
            </w:r>
            <w:r>
              <w:rPr>
                <w:rFonts w:hint="eastAsia" w:ascii="宋体" w:hAnsi="宋体" w:cs="宋体"/>
                <w:color w:val="000000"/>
                <w:sz w:val="24"/>
                <w:highlight w:val="none"/>
              </w:rPr>
              <w:t>份副本</w:t>
            </w:r>
          </w:p>
        </w:tc>
        <w:tc>
          <w:tcPr>
            <w:tcW w:w="540"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b/>
                <w:color w:val="000000"/>
                <w:sz w:val="24"/>
                <w:highlight w:val="none"/>
              </w:rPr>
            </w:pPr>
          </w:p>
        </w:tc>
        <w:tc>
          <w:tcPr>
            <w:tcW w:w="540"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b/>
                <w:color w:val="000000"/>
                <w:sz w:val="24"/>
                <w:highlight w:val="none"/>
              </w:rPr>
            </w:pPr>
          </w:p>
        </w:tc>
        <w:tc>
          <w:tcPr>
            <w:tcW w:w="549"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b/>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817"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color w:val="000000"/>
                <w:sz w:val="24"/>
                <w:highlight w:val="none"/>
              </w:rPr>
            </w:pPr>
            <w:r>
              <w:rPr>
                <w:rFonts w:hint="eastAsia" w:ascii="宋体" w:hAnsi="宋体" w:cs="宋体"/>
                <w:color w:val="000000"/>
                <w:sz w:val="24"/>
                <w:highlight w:val="none"/>
              </w:rPr>
              <w:t>3</w:t>
            </w:r>
          </w:p>
        </w:tc>
        <w:tc>
          <w:tcPr>
            <w:tcW w:w="2524"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rPr>
                <w:rFonts w:hint="eastAsia" w:ascii="宋体" w:hAnsi="宋体" w:cs="宋体"/>
                <w:color w:val="000000"/>
                <w:sz w:val="24"/>
                <w:highlight w:val="none"/>
              </w:rPr>
            </w:pPr>
            <w:r>
              <w:rPr>
                <w:rFonts w:hint="eastAsia" w:ascii="宋体" w:hAnsi="宋体" w:cs="宋体"/>
                <w:color w:val="000000"/>
                <w:sz w:val="24"/>
                <w:highlight w:val="none"/>
              </w:rPr>
              <w:t>投标保证金</w:t>
            </w:r>
          </w:p>
        </w:tc>
        <w:tc>
          <w:tcPr>
            <w:tcW w:w="4138"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rPr>
                <w:rFonts w:hint="eastAsia" w:ascii="宋体" w:hAnsi="宋体" w:cs="宋体"/>
                <w:color w:val="000000"/>
                <w:sz w:val="24"/>
                <w:highlight w:val="none"/>
              </w:rPr>
            </w:pPr>
            <w:r>
              <w:rPr>
                <w:rFonts w:hint="eastAsia" w:ascii="宋体" w:hAnsi="宋体" w:cs="宋体"/>
                <w:color w:val="000000"/>
                <w:sz w:val="24"/>
                <w:highlight w:val="none"/>
              </w:rPr>
              <w:t>按时、足额缴纳了投标保证金</w:t>
            </w:r>
          </w:p>
        </w:tc>
        <w:tc>
          <w:tcPr>
            <w:tcW w:w="540"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b/>
                <w:color w:val="000000"/>
                <w:sz w:val="24"/>
                <w:highlight w:val="none"/>
              </w:rPr>
            </w:pPr>
          </w:p>
        </w:tc>
        <w:tc>
          <w:tcPr>
            <w:tcW w:w="540"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b/>
                <w:color w:val="000000"/>
                <w:sz w:val="24"/>
                <w:highlight w:val="none"/>
              </w:rPr>
            </w:pPr>
          </w:p>
        </w:tc>
        <w:tc>
          <w:tcPr>
            <w:tcW w:w="549"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b/>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817"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color w:val="000000"/>
                <w:sz w:val="24"/>
                <w:highlight w:val="none"/>
              </w:rPr>
            </w:pPr>
            <w:r>
              <w:rPr>
                <w:rFonts w:hint="eastAsia" w:ascii="宋体" w:hAnsi="宋体" w:cs="宋体"/>
                <w:color w:val="000000"/>
                <w:sz w:val="24"/>
                <w:highlight w:val="none"/>
              </w:rPr>
              <w:t>4</w:t>
            </w:r>
          </w:p>
        </w:tc>
        <w:tc>
          <w:tcPr>
            <w:tcW w:w="2524"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rPr>
                <w:rFonts w:hint="eastAsia" w:ascii="宋体" w:hAnsi="宋体" w:cs="宋体"/>
                <w:color w:val="000000"/>
                <w:sz w:val="24"/>
                <w:highlight w:val="none"/>
              </w:rPr>
            </w:pPr>
            <w:r>
              <w:rPr>
                <w:rFonts w:hint="eastAsia" w:ascii="宋体" w:hAnsi="宋体" w:cs="宋体"/>
                <w:color w:val="000000"/>
                <w:sz w:val="24"/>
                <w:highlight w:val="none"/>
              </w:rPr>
              <w:t>投标报价</w:t>
            </w:r>
          </w:p>
        </w:tc>
        <w:tc>
          <w:tcPr>
            <w:tcW w:w="4138"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rPr>
                <w:rFonts w:hint="eastAsia" w:ascii="宋体" w:hAnsi="宋体" w:cs="宋体"/>
                <w:color w:val="000000"/>
                <w:sz w:val="24"/>
                <w:highlight w:val="none"/>
              </w:rPr>
            </w:pPr>
            <w:r>
              <w:rPr>
                <w:rFonts w:hint="eastAsia" w:ascii="宋体" w:hAnsi="宋体" w:cs="宋体"/>
                <w:color w:val="000000"/>
                <w:sz w:val="24"/>
                <w:highlight w:val="none"/>
              </w:rPr>
              <w:t>投标报价唯一；未超出采购预算（最高限价）。</w:t>
            </w:r>
          </w:p>
        </w:tc>
        <w:tc>
          <w:tcPr>
            <w:tcW w:w="540"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b/>
                <w:color w:val="000000"/>
                <w:sz w:val="24"/>
                <w:highlight w:val="none"/>
              </w:rPr>
            </w:pPr>
          </w:p>
        </w:tc>
        <w:tc>
          <w:tcPr>
            <w:tcW w:w="540"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b/>
                <w:color w:val="000000"/>
                <w:sz w:val="24"/>
                <w:highlight w:val="none"/>
              </w:rPr>
            </w:pPr>
          </w:p>
        </w:tc>
        <w:tc>
          <w:tcPr>
            <w:tcW w:w="549"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b/>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color w:val="000000"/>
                <w:sz w:val="24"/>
                <w:highlight w:val="none"/>
              </w:rPr>
            </w:pPr>
            <w:r>
              <w:rPr>
                <w:rFonts w:hint="eastAsia" w:ascii="宋体" w:hAnsi="宋体" w:cs="宋体"/>
                <w:color w:val="000000"/>
                <w:sz w:val="24"/>
                <w:highlight w:val="none"/>
              </w:rPr>
              <w:t>5</w:t>
            </w:r>
          </w:p>
        </w:tc>
        <w:tc>
          <w:tcPr>
            <w:tcW w:w="2524"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rPr>
                <w:rFonts w:hint="eastAsia" w:ascii="宋体" w:hAnsi="宋体" w:cs="宋体"/>
                <w:color w:val="auto"/>
                <w:sz w:val="24"/>
                <w:highlight w:val="none"/>
              </w:rPr>
            </w:pPr>
            <w:r>
              <w:rPr>
                <w:rFonts w:hint="eastAsia" w:ascii="宋体" w:hAnsi="宋体" w:cs="宋体"/>
                <w:color w:val="auto"/>
                <w:sz w:val="24"/>
                <w:highlight w:val="none"/>
              </w:rPr>
              <w:t>信用记录</w:t>
            </w:r>
          </w:p>
        </w:tc>
        <w:tc>
          <w:tcPr>
            <w:tcW w:w="4138"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rPr>
                <w:rFonts w:hint="eastAsia" w:ascii="宋体" w:hAnsi="宋体" w:cs="宋体"/>
                <w:color w:val="auto"/>
                <w:sz w:val="24"/>
                <w:highlight w:val="none"/>
              </w:rPr>
            </w:pPr>
            <w:r>
              <w:rPr>
                <w:rFonts w:hint="eastAsia" w:ascii="宋体" w:hAnsi="宋体" w:cs="宋体"/>
                <w:color w:val="auto"/>
                <w:sz w:val="24"/>
                <w:highlight w:val="none"/>
              </w:rPr>
              <w:t>无严重违法失信行为记录</w:t>
            </w:r>
          </w:p>
        </w:tc>
        <w:tc>
          <w:tcPr>
            <w:tcW w:w="540"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b/>
                <w:color w:val="000000"/>
                <w:sz w:val="24"/>
                <w:highlight w:val="none"/>
              </w:rPr>
            </w:pPr>
          </w:p>
        </w:tc>
        <w:tc>
          <w:tcPr>
            <w:tcW w:w="540"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b/>
                <w:color w:val="000000"/>
                <w:sz w:val="24"/>
                <w:highlight w:val="none"/>
              </w:rPr>
            </w:pPr>
          </w:p>
        </w:tc>
        <w:tc>
          <w:tcPr>
            <w:tcW w:w="549"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b/>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color w:val="000000"/>
                <w:sz w:val="24"/>
                <w:highlight w:val="none"/>
              </w:rPr>
            </w:pPr>
            <w:r>
              <w:rPr>
                <w:rFonts w:hint="eastAsia" w:ascii="宋体" w:hAnsi="宋体" w:cs="宋体"/>
                <w:color w:val="000000"/>
                <w:sz w:val="24"/>
                <w:highlight w:val="none"/>
              </w:rPr>
              <w:t>6</w:t>
            </w:r>
          </w:p>
        </w:tc>
        <w:tc>
          <w:tcPr>
            <w:tcW w:w="2524"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rPr>
                <w:rFonts w:hint="eastAsia" w:ascii="宋体" w:hAnsi="宋体" w:cs="宋体"/>
                <w:color w:val="auto"/>
                <w:sz w:val="24"/>
                <w:highlight w:val="none"/>
              </w:rPr>
            </w:pPr>
            <w:r>
              <w:rPr>
                <w:rFonts w:hint="eastAsia" w:ascii="宋体" w:hAnsi="宋体" w:cs="宋体"/>
                <w:color w:val="auto"/>
                <w:sz w:val="24"/>
                <w:highlight w:val="none"/>
              </w:rPr>
              <w:t>投标文件的密封、签署与盖章</w:t>
            </w:r>
          </w:p>
        </w:tc>
        <w:tc>
          <w:tcPr>
            <w:tcW w:w="4138"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rPr>
                <w:rFonts w:hint="eastAsia" w:ascii="宋体" w:hAnsi="宋体" w:cs="宋体"/>
                <w:color w:val="auto"/>
                <w:sz w:val="24"/>
                <w:highlight w:val="none"/>
              </w:rPr>
            </w:pPr>
            <w:r>
              <w:rPr>
                <w:rFonts w:hint="eastAsia" w:ascii="宋体" w:hAnsi="宋体" w:cs="宋体"/>
                <w:color w:val="auto"/>
                <w:sz w:val="24"/>
                <w:highlight w:val="none"/>
              </w:rPr>
              <w:t>符合磋商文件要求</w:t>
            </w:r>
          </w:p>
        </w:tc>
        <w:tc>
          <w:tcPr>
            <w:tcW w:w="540"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b/>
                <w:color w:val="000000"/>
                <w:sz w:val="24"/>
                <w:highlight w:val="none"/>
              </w:rPr>
            </w:pPr>
          </w:p>
        </w:tc>
        <w:tc>
          <w:tcPr>
            <w:tcW w:w="540"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b/>
                <w:color w:val="000000"/>
                <w:sz w:val="24"/>
                <w:highlight w:val="none"/>
              </w:rPr>
            </w:pPr>
          </w:p>
        </w:tc>
        <w:tc>
          <w:tcPr>
            <w:tcW w:w="549"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b/>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color w:val="000000"/>
                <w:sz w:val="24"/>
                <w:highlight w:val="none"/>
              </w:rPr>
            </w:pPr>
            <w:r>
              <w:rPr>
                <w:rFonts w:hint="eastAsia" w:ascii="宋体" w:hAnsi="宋体" w:cs="宋体"/>
                <w:color w:val="000000"/>
                <w:sz w:val="24"/>
                <w:highlight w:val="none"/>
              </w:rPr>
              <w:t>7</w:t>
            </w:r>
          </w:p>
        </w:tc>
        <w:tc>
          <w:tcPr>
            <w:tcW w:w="2524"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rPr>
                <w:rFonts w:hint="eastAsia" w:ascii="宋体" w:hAnsi="宋体" w:cs="宋体"/>
                <w:color w:val="auto"/>
                <w:sz w:val="24"/>
                <w:highlight w:val="none"/>
              </w:rPr>
            </w:pPr>
            <w:r>
              <w:rPr>
                <w:rFonts w:hint="eastAsia" w:ascii="宋体" w:hAnsi="宋体" w:cs="宋体"/>
                <w:color w:val="auto"/>
                <w:sz w:val="24"/>
                <w:highlight w:val="none"/>
              </w:rPr>
              <w:t>投标有效期</w:t>
            </w:r>
          </w:p>
        </w:tc>
        <w:tc>
          <w:tcPr>
            <w:tcW w:w="4138"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rPr>
                <w:rFonts w:hint="eastAsia" w:ascii="宋体" w:hAnsi="宋体" w:cs="宋体"/>
                <w:color w:val="auto"/>
                <w:sz w:val="24"/>
                <w:highlight w:val="none"/>
              </w:rPr>
            </w:pPr>
            <w:r>
              <w:rPr>
                <w:rFonts w:hint="eastAsia" w:ascii="宋体" w:hAnsi="宋体" w:cs="宋体"/>
                <w:color w:val="auto"/>
                <w:sz w:val="24"/>
                <w:highlight w:val="none"/>
              </w:rPr>
              <w:t>投标有效期满足60天</w:t>
            </w:r>
          </w:p>
        </w:tc>
        <w:tc>
          <w:tcPr>
            <w:tcW w:w="540"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b/>
                <w:color w:val="000000"/>
                <w:sz w:val="24"/>
                <w:highlight w:val="none"/>
              </w:rPr>
            </w:pPr>
          </w:p>
        </w:tc>
        <w:tc>
          <w:tcPr>
            <w:tcW w:w="540"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b/>
                <w:color w:val="000000"/>
                <w:sz w:val="24"/>
                <w:highlight w:val="none"/>
              </w:rPr>
            </w:pPr>
          </w:p>
        </w:tc>
        <w:tc>
          <w:tcPr>
            <w:tcW w:w="549"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b/>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color w:val="000000"/>
                <w:sz w:val="24"/>
                <w:highlight w:val="none"/>
              </w:rPr>
            </w:pPr>
            <w:r>
              <w:rPr>
                <w:rFonts w:hint="eastAsia" w:ascii="宋体" w:hAnsi="宋体" w:cs="宋体"/>
                <w:color w:val="000000"/>
                <w:sz w:val="24"/>
                <w:highlight w:val="none"/>
              </w:rPr>
              <w:t>8</w:t>
            </w:r>
          </w:p>
        </w:tc>
        <w:tc>
          <w:tcPr>
            <w:tcW w:w="2524"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rPr>
                <w:rFonts w:hint="eastAsia" w:ascii="宋体" w:hAnsi="宋体" w:eastAsia="Calibri" w:cs="宋体"/>
                <w:color w:val="auto"/>
                <w:sz w:val="24"/>
                <w:highlight w:val="none"/>
              </w:rPr>
            </w:pPr>
            <w:r>
              <w:rPr>
                <w:rFonts w:hint="eastAsia" w:ascii="宋体" w:hAnsi="宋体" w:cs="宋体"/>
                <w:color w:val="auto"/>
                <w:sz w:val="24"/>
                <w:highlight w:val="none"/>
              </w:rPr>
              <w:t>施工工期</w:t>
            </w:r>
          </w:p>
        </w:tc>
        <w:tc>
          <w:tcPr>
            <w:tcW w:w="4138"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rPr>
                <w:rFonts w:hint="eastAsia" w:ascii="宋体" w:hAnsi="宋体" w:cs="宋体"/>
                <w:color w:val="auto"/>
                <w:sz w:val="24"/>
                <w:highlight w:val="none"/>
              </w:rPr>
            </w:pPr>
            <w:r>
              <w:rPr>
                <w:rFonts w:hint="eastAsia" w:ascii="宋体" w:hAnsi="宋体" w:cs="宋体"/>
                <w:color w:val="auto"/>
                <w:sz w:val="24"/>
                <w:highlight w:val="none"/>
                <w:lang w:val="en-US" w:eastAsia="zh-CN"/>
              </w:rPr>
              <w:t>90日历天</w:t>
            </w:r>
          </w:p>
        </w:tc>
        <w:tc>
          <w:tcPr>
            <w:tcW w:w="540"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b/>
                <w:color w:val="000000"/>
                <w:sz w:val="24"/>
                <w:highlight w:val="none"/>
              </w:rPr>
            </w:pPr>
          </w:p>
        </w:tc>
        <w:tc>
          <w:tcPr>
            <w:tcW w:w="540"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b/>
                <w:color w:val="000000"/>
                <w:sz w:val="24"/>
                <w:highlight w:val="none"/>
              </w:rPr>
            </w:pPr>
          </w:p>
        </w:tc>
        <w:tc>
          <w:tcPr>
            <w:tcW w:w="549"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b/>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eastAsia="Calibri" w:cs="宋体"/>
                <w:color w:val="000000"/>
                <w:sz w:val="24"/>
                <w:highlight w:val="none"/>
              </w:rPr>
            </w:pPr>
            <w:r>
              <w:rPr>
                <w:rFonts w:hint="eastAsia" w:ascii="宋体" w:hAnsi="宋体" w:cs="宋体"/>
                <w:color w:val="000000"/>
                <w:sz w:val="24"/>
                <w:highlight w:val="none"/>
              </w:rPr>
              <w:t>9</w:t>
            </w:r>
          </w:p>
        </w:tc>
        <w:tc>
          <w:tcPr>
            <w:tcW w:w="2524"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rPr>
                <w:rFonts w:hint="eastAsia" w:ascii="宋体" w:hAnsi="宋体" w:cs="宋体"/>
                <w:color w:val="000000"/>
                <w:sz w:val="24"/>
                <w:highlight w:val="none"/>
              </w:rPr>
            </w:pPr>
            <w:r>
              <w:rPr>
                <w:rFonts w:hint="eastAsia" w:ascii="宋体" w:hAnsi="宋体" w:cs="宋体"/>
                <w:color w:val="000000"/>
                <w:sz w:val="24"/>
                <w:highlight w:val="none"/>
              </w:rPr>
              <w:t>其  它</w:t>
            </w:r>
          </w:p>
        </w:tc>
        <w:tc>
          <w:tcPr>
            <w:tcW w:w="4138"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rPr>
                <w:rFonts w:hint="eastAsia" w:ascii="宋体" w:hAnsi="宋体" w:cs="宋体"/>
                <w:color w:val="000000"/>
                <w:sz w:val="24"/>
                <w:highlight w:val="none"/>
              </w:rPr>
            </w:pPr>
            <w:r>
              <w:rPr>
                <w:rFonts w:hint="eastAsia" w:ascii="宋体" w:hAnsi="宋体" w:cs="宋体"/>
                <w:color w:val="000000"/>
                <w:sz w:val="24"/>
                <w:highlight w:val="none"/>
              </w:rPr>
              <w:t>无其它无效投标认定条件</w:t>
            </w:r>
          </w:p>
        </w:tc>
        <w:tc>
          <w:tcPr>
            <w:tcW w:w="540"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b/>
                <w:color w:val="000000"/>
                <w:sz w:val="24"/>
                <w:highlight w:val="none"/>
              </w:rPr>
            </w:pPr>
          </w:p>
        </w:tc>
        <w:tc>
          <w:tcPr>
            <w:tcW w:w="540"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b/>
                <w:color w:val="000000"/>
                <w:sz w:val="24"/>
                <w:highlight w:val="none"/>
              </w:rPr>
            </w:pPr>
          </w:p>
        </w:tc>
        <w:tc>
          <w:tcPr>
            <w:tcW w:w="549"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b/>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47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color w:val="000000"/>
                <w:sz w:val="24"/>
                <w:highlight w:val="none"/>
              </w:rPr>
            </w:pPr>
            <w:r>
              <w:rPr>
                <w:rFonts w:hint="eastAsia" w:ascii="宋体" w:hAnsi="宋体" w:cs="宋体"/>
                <w:b/>
                <w:color w:val="000000"/>
                <w:sz w:val="24"/>
                <w:highlight w:val="none"/>
              </w:rPr>
              <w:t>结论</w:t>
            </w:r>
          </w:p>
        </w:tc>
        <w:tc>
          <w:tcPr>
            <w:tcW w:w="540"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b/>
                <w:color w:val="000000"/>
                <w:sz w:val="24"/>
                <w:highlight w:val="none"/>
              </w:rPr>
            </w:pPr>
          </w:p>
        </w:tc>
        <w:tc>
          <w:tcPr>
            <w:tcW w:w="540"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b/>
                <w:color w:val="000000"/>
                <w:sz w:val="24"/>
                <w:highlight w:val="none"/>
              </w:rPr>
            </w:pPr>
          </w:p>
        </w:tc>
        <w:tc>
          <w:tcPr>
            <w:tcW w:w="549" w:type="dxa"/>
            <w:tcBorders>
              <w:top w:val="single" w:color="auto" w:sz="4" w:space="0"/>
              <w:left w:val="single" w:color="auto" w:sz="4" w:space="0"/>
              <w:bottom w:val="single" w:color="auto" w:sz="4" w:space="0"/>
              <w:right w:val="single" w:color="auto" w:sz="4" w:space="0"/>
            </w:tcBorders>
            <w:vAlign w:val="center"/>
          </w:tcPr>
          <w:p>
            <w:pPr>
              <w:pageBreakBefore w:val="0"/>
              <w:kinsoku/>
              <w:topLinePunct w:val="0"/>
              <w:bidi w:val="0"/>
              <w:spacing w:line="360" w:lineRule="auto"/>
              <w:jc w:val="center"/>
              <w:rPr>
                <w:rFonts w:hint="eastAsia" w:ascii="宋体" w:hAnsi="宋体" w:cs="宋体"/>
                <w:b/>
                <w:color w:val="000000"/>
                <w:sz w:val="24"/>
                <w:highlight w:val="none"/>
              </w:rPr>
            </w:pPr>
          </w:p>
        </w:tc>
      </w:tr>
    </w:tbl>
    <w:p>
      <w:pPr>
        <w:pageBreakBefore w:val="0"/>
        <w:kinsoku/>
        <w:topLinePunct w:val="0"/>
        <w:bidi w:val="0"/>
        <w:spacing w:line="360" w:lineRule="auto"/>
        <w:jc w:val="center"/>
        <w:rPr>
          <w:rFonts w:hint="eastAsia" w:ascii="宋体" w:hAnsi="宋体" w:cs="宋体"/>
          <w:b/>
          <w:color w:val="000000"/>
          <w:sz w:val="36"/>
          <w:szCs w:val="36"/>
          <w:highlight w:val="none"/>
        </w:rPr>
      </w:pPr>
    </w:p>
    <w:p>
      <w:pPr>
        <w:pageBreakBefore w:val="0"/>
        <w:kinsoku/>
        <w:topLinePunct w:val="0"/>
        <w:bidi w:val="0"/>
        <w:spacing w:line="360" w:lineRule="auto"/>
        <w:rPr>
          <w:rFonts w:hint="eastAsia" w:ascii="宋体" w:hAnsi="宋体" w:cs="宋体"/>
          <w:color w:val="000000"/>
          <w:sz w:val="24"/>
          <w:highlight w:val="none"/>
        </w:rPr>
      </w:pPr>
      <w:r>
        <w:rPr>
          <w:rFonts w:hint="eastAsia" w:ascii="宋体" w:hAnsi="宋体" w:cs="宋体"/>
          <w:color w:val="000000"/>
          <w:sz w:val="24"/>
          <w:highlight w:val="none"/>
        </w:rPr>
        <w:t>说明：</w:t>
      </w:r>
    </w:p>
    <w:p>
      <w:pPr>
        <w:pageBreakBefore w:val="0"/>
        <w:kinsoku/>
        <w:topLinePunct w:val="0"/>
        <w:bidi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1、表中只需填写“√、合格”或 “×、不合格”。</w:t>
      </w:r>
    </w:p>
    <w:p>
      <w:pPr>
        <w:pageBreakBefore w:val="0"/>
        <w:widowControl/>
        <w:kinsoku/>
        <w:topLinePunct w:val="0"/>
        <w:autoSpaceDN w:val="0"/>
        <w:bidi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2、在结论中按“一项否决”的原则，只有全部是√/通过的，填写“合格”；只要其中有一项是×/不通过的，填写“不合格”。</w:t>
      </w:r>
    </w:p>
    <w:p>
      <w:pPr>
        <w:pageBreakBefore w:val="0"/>
        <w:widowControl/>
        <w:kinsoku/>
        <w:topLinePunct w:val="0"/>
        <w:autoSpaceDN w:val="0"/>
        <w:bidi w:val="0"/>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3、只有结论是合格的</w:t>
      </w:r>
      <w:r>
        <w:rPr>
          <w:rFonts w:hint="eastAsia" w:ascii="宋体" w:hAnsi="宋体" w:cs="宋体"/>
          <w:color w:val="000000"/>
          <w:sz w:val="24"/>
          <w:highlight w:val="none"/>
          <w:lang w:eastAsia="zh-CN"/>
        </w:rPr>
        <w:t>供应商</w:t>
      </w:r>
      <w:r>
        <w:rPr>
          <w:rFonts w:hint="eastAsia" w:ascii="宋体" w:hAnsi="宋体" w:cs="宋体"/>
          <w:color w:val="000000"/>
          <w:sz w:val="24"/>
          <w:highlight w:val="none"/>
        </w:rPr>
        <w:t>，才能进入下一轮评审；不合格的</w:t>
      </w:r>
      <w:r>
        <w:rPr>
          <w:rFonts w:hint="eastAsia" w:ascii="宋体" w:hAnsi="宋体" w:cs="宋体"/>
          <w:color w:val="000000"/>
          <w:sz w:val="24"/>
          <w:highlight w:val="none"/>
          <w:lang w:eastAsia="zh-CN"/>
        </w:rPr>
        <w:t>供应商</w:t>
      </w:r>
      <w:r>
        <w:rPr>
          <w:rFonts w:hint="eastAsia" w:ascii="宋体" w:hAnsi="宋体" w:cs="宋体"/>
          <w:color w:val="000000"/>
          <w:sz w:val="24"/>
          <w:highlight w:val="none"/>
        </w:rPr>
        <w:t>被淘汰。</w:t>
      </w:r>
    </w:p>
    <w:p>
      <w:pPr>
        <w:pageBreakBefore w:val="0"/>
        <w:widowControl/>
        <w:kinsoku/>
        <w:topLinePunct w:val="0"/>
        <w:autoSpaceDN w:val="0"/>
        <w:bidi w:val="0"/>
        <w:spacing w:line="360" w:lineRule="auto"/>
        <w:rPr>
          <w:rFonts w:hint="eastAsia"/>
          <w:color w:val="000000"/>
          <w:kern w:val="0"/>
          <w:sz w:val="24"/>
          <w:highlight w:val="none"/>
        </w:rPr>
      </w:pPr>
    </w:p>
    <w:p>
      <w:pPr>
        <w:pageBreakBefore w:val="0"/>
        <w:kinsoku/>
        <w:topLinePunct w:val="0"/>
        <w:bidi w:val="0"/>
        <w:spacing w:line="360" w:lineRule="auto"/>
        <w:ind w:firstLine="562" w:firstLineChars="200"/>
        <w:jc w:val="center"/>
        <w:rPr>
          <w:rFonts w:hint="eastAsia"/>
          <w:b/>
          <w:bCs/>
          <w:color w:val="000000"/>
          <w:sz w:val="28"/>
          <w:szCs w:val="28"/>
          <w:highlight w:val="none"/>
        </w:rPr>
      </w:pPr>
      <w:r>
        <w:rPr>
          <w:b/>
          <w:bCs/>
          <w:color w:val="000000"/>
          <w:sz w:val="28"/>
          <w:szCs w:val="28"/>
          <w:highlight w:val="none"/>
        </w:rPr>
        <w:br w:type="page"/>
      </w:r>
      <w:r>
        <w:rPr>
          <w:rFonts w:hint="eastAsia"/>
          <w:b/>
          <w:bCs/>
          <w:color w:val="000000"/>
          <w:sz w:val="28"/>
          <w:szCs w:val="28"/>
          <w:highlight w:val="none"/>
        </w:rPr>
        <w:t>附件2：</w:t>
      </w:r>
      <w:bookmarkStart w:id="177" w:name="_Toc317237629"/>
      <w:bookmarkStart w:id="178" w:name="_Toc212102881"/>
      <w:r>
        <w:rPr>
          <w:rFonts w:hint="eastAsia"/>
          <w:b/>
          <w:bCs/>
          <w:color w:val="000000"/>
          <w:sz w:val="28"/>
          <w:szCs w:val="28"/>
          <w:highlight w:val="none"/>
        </w:rPr>
        <w:t>评审标准和方法</w:t>
      </w:r>
    </w:p>
    <w:p>
      <w:pPr>
        <w:pageBreakBefore w:val="0"/>
        <w:kinsoku/>
        <w:topLinePunct w:val="0"/>
        <w:bidi w:val="0"/>
        <w:spacing w:line="360" w:lineRule="auto"/>
        <w:ind w:firstLine="480" w:firstLineChars="200"/>
        <w:outlineLvl w:val="1"/>
        <w:rPr>
          <w:rFonts w:ascii="宋体" w:hAnsi="宋体" w:cs="宋体"/>
          <w:color w:val="000000"/>
          <w:sz w:val="24"/>
        </w:rPr>
      </w:pPr>
      <w:r>
        <w:rPr>
          <w:rFonts w:hint="eastAsia" w:ascii="宋体" w:hAnsi="宋体" w:cs="宋体"/>
          <w:color w:val="000000"/>
          <w:sz w:val="24"/>
        </w:rPr>
        <w:t>本招标项目的评标办法采用综合评分法。满分为100分，其中：</w:t>
      </w:r>
      <w:bookmarkStart w:id="179" w:name="_Hlk78445141"/>
      <w:r>
        <w:rPr>
          <w:rFonts w:hint="eastAsia" w:ascii="宋体" w:hAnsi="宋体" w:cs="宋体"/>
          <w:color w:val="000000"/>
          <w:sz w:val="24"/>
        </w:rPr>
        <w:t>价格部分</w:t>
      </w:r>
      <w:r>
        <w:rPr>
          <w:rFonts w:ascii="宋体" w:hAnsi="宋体" w:cs="宋体"/>
          <w:color w:val="000000"/>
          <w:sz w:val="24"/>
        </w:rPr>
        <w:t>30</w:t>
      </w:r>
      <w:r>
        <w:rPr>
          <w:rFonts w:hint="eastAsia" w:ascii="宋体" w:hAnsi="宋体" w:cs="宋体"/>
          <w:color w:val="000000"/>
          <w:sz w:val="24"/>
        </w:rPr>
        <w:t>分，商务部分</w:t>
      </w:r>
      <w:r>
        <w:rPr>
          <w:rFonts w:hint="eastAsia" w:ascii="宋体" w:hAnsi="宋体" w:cs="宋体"/>
          <w:color w:val="000000"/>
          <w:sz w:val="24"/>
          <w:lang w:val="en-US" w:eastAsia="zh-CN"/>
        </w:rPr>
        <w:t>1</w:t>
      </w:r>
      <w:r>
        <w:rPr>
          <w:rFonts w:ascii="宋体" w:hAnsi="宋体" w:cs="宋体"/>
          <w:color w:val="000000"/>
          <w:sz w:val="24"/>
        </w:rPr>
        <w:t>0</w:t>
      </w:r>
      <w:r>
        <w:rPr>
          <w:rFonts w:hint="eastAsia" w:ascii="宋体" w:hAnsi="宋体" w:cs="宋体"/>
          <w:color w:val="000000"/>
          <w:sz w:val="24"/>
        </w:rPr>
        <w:t>分，技术部分</w:t>
      </w:r>
      <w:r>
        <w:rPr>
          <w:rFonts w:hint="eastAsia" w:ascii="宋体" w:hAnsi="宋体" w:cs="宋体"/>
          <w:color w:val="000000"/>
          <w:sz w:val="24"/>
          <w:lang w:val="en-US" w:eastAsia="zh-CN"/>
        </w:rPr>
        <w:t>6</w:t>
      </w:r>
      <w:r>
        <w:rPr>
          <w:rFonts w:ascii="宋体" w:hAnsi="宋体" w:cs="宋体"/>
          <w:color w:val="000000"/>
          <w:sz w:val="24"/>
        </w:rPr>
        <w:t>0</w:t>
      </w:r>
      <w:r>
        <w:rPr>
          <w:rFonts w:hint="eastAsia" w:ascii="宋体" w:hAnsi="宋体" w:cs="宋体"/>
          <w:color w:val="000000"/>
          <w:sz w:val="24"/>
        </w:rPr>
        <w:t>分。</w:t>
      </w:r>
      <w:bookmarkEnd w:id="179"/>
    </w:p>
    <w:p>
      <w:pPr>
        <w:pageBreakBefore w:val="0"/>
        <w:kinsoku/>
        <w:topLinePunct w:val="0"/>
        <w:bidi w:val="0"/>
        <w:spacing w:line="360" w:lineRule="auto"/>
        <w:outlineLvl w:val="1"/>
        <w:rPr>
          <w:rFonts w:ascii="宋体" w:hAnsi="宋体" w:cs="宋体"/>
          <w:b/>
          <w:color w:val="000000"/>
          <w:sz w:val="24"/>
        </w:rPr>
      </w:pPr>
      <w:r>
        <w:rPr>
          <w:rFonts w:hint="eastAsia" w:ascii="宋体" w:hAnsi="宋体" w:cs="宋体"/>
          <w:b/>
          <w:color w:val="000000"/>
          <w:sz w:val="24"/>
        </w:rPr>
        <w:t>一、报价部分（</w:t>
      </w:r>
      <w:r>
        <w:rPr>
          <w:rFonts w:ascii="宋体" w:hAnsi="宋体" w:cs="宋体"/>
          <w:b/>
          <w:color w:val="000000"/>
          <w:sz w:val="24"/>
        </w:rPr>
        <w:t>30</w:t>
      </w:r>
      <w:r>
        <w:rPr>
          <w:rFonts w:hint="eastAsia" w:ascii="宋体" w:hAnsi="宋体" w:cs="宋体"/>
          <w:b/>
          <w:color w:val="000000"/>
          <w:sz w:val="24"/>
        </w:rPr>
        <w:t>分）</w:t>
      </w:r>
    </w:p>
    <w:p>
      <w:pPr>
        <w:pageBreakBefore w:val="0"/>
        <w:kinsoku/>
        <w:topLinePunct w:val="0"/>
        <w:bidi w:val="0"/>
        <w:spacing w:line="360" w:lineRule="auto"/>
        <w:ind w:firstLine="480" w:firstLineChars="200"/>
        <w:rPr>
          <w:rFonts w:ascii="宋体" w:hAnsi="宋体" w:cs="宋体"/>
          <w:color w:val="000000"/>
          <w:sz w:val="24"/>
        </w:rPr>
      </w:pPr>
      <w:r>
        <w:rPr>
          <w:rFonts w:hint="eastAsia" w:ascii="宋体" w:hAnsi="宋体" w:cs="宋体"/>
          <w:color w:val="000000"/>
          <w:sz w:val="24"/>
        </w:rPr>
        <w:t>1、价格得分计算公式：</w:t>
      </w:r>
    </w:p>
    <w:p>
      <w:pPr>
        <w:pageBreakBefore w:val="0"/>
        <w:widowControl/>
        <w:kinsoku/>
        <w:topLinePunct w:val="0"/>
        <w:bidi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综合评分法中的价格分统一采用低价优先法计算。</w:t>
      </w:r>
    </w:p>
    <w:p>
      <w:pPr>
        <w:pageBreakBefore w:val="0"/>
        <w:widowControl/>
        <w:kinsoku/>
        <w:topLinePunct w:val="0"/>
        <w:bidi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磋商基准价为满足磋商文件要求且最后报价最低的供应商的价格</w:t>
      </w:r>
    </w:p>
    <w:p>
      <w:pPr>
        <w:pageBreakBefore w:val="0"/>
        <w:kinsoku/>
        <w:topLinePunct w:val="0"/>
        <w:bidi w:val="0"/>
        <w:spacing w:line="360" w:lineRule="auto"/>
        <w:ind w:firstLine="480" w:firstLineChars="200"/>
        <w:outlineLvl w:val="1"/>
        <w:rPr>
          <w:rFonts w:ascii="宋体" w:hAnsi="宋体" w:cs="宋体"/>
          <w:color w:val="000000"/>
          <w:sz w:val="24"/>
        </w:rPr>
      </w:pPr>
      <w:r>
        <w:rPr>
          <w:rFonts w:hint="eastAsia" w:ascii="宋体" w:hAnsi="宋体" w:cs="宋体"/>
          <w:color w:val="000000"/>
          <w:kern w:val="0"/>
          <w:sz w:val="24"/>
        </w:rPr>
        <w:t>磋商报价得分=（磋商基准价/最后磋商报价）×</w:t>
      </w:r>
      <w:r>
        <w:rPr>
          <w:rFonts w:ascii="宋体" w:hAnsi="宋体" w:cs="宋体"/>
          <w:color w:val="000000"/>
          <w:kern w:val="0"/>
          <w:sz w:val="24"/>
        </w:rPr>
        <w:t>30</w:t>
      </w:r>
      <w:r>
        <w:rPr>
          <w:rFonts w:hint="eastAsia" w:ascii="宋体" w:hAnsi="宋体" w:cs="宋体"/>
          <w:color w:val="000000"/>
          <w:kern w:val="0"/>
          <w:sz w:val="24"/>
        </w:rPr>
        <w:t>%×100</w:t>
      </w:r>
    </w:p>
    <w:p>
      <w:pPr>
        <w:pageBreakBefore w:val="0"/>
        <w:kinsoku/>
        <w:topLinePunct w:val="0"/>
        <w:bidi w:val="0"/>
        <w:spacing w:line="360" w:lineRule="auto"/>
        <w:ind w:firstLine="480" w:firstLineChars="200"/>
        <w:outlineLvl w:val="1"/>
        <w:rPr>
          <w:rFonts w:ascii="宋体" w:hAnsi="宋体" w:cs="宋体"/>
          <w:color w:val="000000"/>
          <w:sz w:val="24"/>
        </w:rPr>
      </w:pPr>
      <w:r>
        <w:rPr>
          <w:rFonts w:hint="eastAsia" w:ascii="宋体" w:hAnsi="宋体" w:cs="宋体"/>
          <w:color w:val="000000"/>
          <w:sz w:val="24"/>
        </w:rPr>
        <w:t>注：（1）价格得分取小数点后两位，四舍五入。</w:t>
      </w:r>
    </w:p>
    <w:p>
      <w:pPr>
        <w:pageBreakBefore w:val="0"/>
        <w:kinsoku/>
        <w:topLinePunct w:val="0"/>
        <w:bidi w:val="0"/>
        <w:spacing w:line="360" w:lineRule="auto"/>
        <w:ind w:firstLine="960" w:firstLineChars="400"/>
        <w:outlineLvl w:val="1"/>
        <w:rPr>
          <w:rFonts w:ascii="宋体" w:hAnsi="宋体" w:cs="宋体"/>
          <w:color w:val="000000"/>
          <w:sz w:val="24"/>
        </w:rPr>
      </w:pPr>
      <w:r>
        <w:rPr>
          <w:rFonts w:hint="eastAsia" w:ascii="宋体" w:hAnsi="宋体" w:cs="宋体"/>
          <w:color w:val="000000"/>
          <w:sz w:val="24"/>
        </w:rPr>
        <w:t>（2）有效供应商为未被评标委员会判定为无效投标的供应商。</w:t>
      </w:r>
    </w:p>
    <w:p>
      <w:pPr>
        <w:pageBreakBefore w:val="0"/>
        <w:numPr>
          <w:ilvl w:val="0"/>
          <w:numId w:val="7"/>
        </w:numPr>
        <w:kinsoku/>
        <w:topLinePunct w:val="0"/>
        <w:bidi w:val="0"/>
        <w:spacing w:line="360" w:lineRule="auto"/>
        <w:ind w:firstLine="480" w:firstLineChars="200"/>
        <w:outlineLvl w:val="1"/>
        <w:rPr>
          <w:rFonts w:ascii="宋体" w:hAnsi="宋体" w:cs="宋体"/>
          <w:color w:val="000000"/>
          <w:sz w:val="24"/>
        </w:rPr>
      </w:pPr>
      <w:r>
        <w:rPr>
          <w:rFonts w:hint="eastAsia" w:ascii="宋体" w:hAnsi="宋体" w:cs="宋体"/>
          <w:color w:val="000000"/>
          <w:sz w:val="24"/>
        </w:rPr>
        <w:t>小微企业投标价格依据《关于印发中小企业划型标准规定的通知》（工信部联企业[2011]300号）文件及《政府采购促进中小企业发展管理办法》（财库〔2020〕46号）文件规定，按</w:t>
      </w:r>
      <w:r>
        <w:rPr>
          <w:rFonts w:hint="eastAsia" w:ascii="宋体" w:hAnsi="宋体" w:cs="宋体"/>
          <w:color w:val="000000"/>
          <w:sz w:val="24"/>
          <w:lang w:val="en-US" w:eastAsia="zh-CN"/>
        </w:rPr>
        <w:t>10</w:t>
      </w:r>
      <w:r>
        <w:rPr>
          <w:rFonts w:hint="eastAsia" w:ascii="宋体" w:hAnsi="宋体" w:cs="宋体"/>
          <w:color w:val="000000"/>
          <w:sz w:val="24"/>
        </w:rPr>
        <w:t>%的优惠折算后计算投标报价得分。</w:t>
      </w:r>
    </w:p>
    <w:p>
      <w:pPr>
        <w:pageBreakBefore w:val="0"/>
        <w:kinsoku/>
        <w:topLinePunct w:val="0"/>
        <w:bidi w:val="0"/>
        <w:spacing w:line="360" w:lineRule="auto"/>
        <w:ind w:firstLine="480" w:firstLineChars="200"/>
        <w:outlineLvl w:val="1"/>
        <w:rPr>
          <w:rFonts w:ascii="宋体" w:hAnsi="宋体" w:cs="宋体"/>
          <w:color w:val="000000"/>
          <w:sz w:val="24"/>
        </w:rPr>
      </w:pPr>
      <w:r>
        <w:rPr>
          <w:rFonts w:hint="eastAsia" w:ascii="宋体" w:hAnsi="宋体" w:cs="宋体"/>
          <w:color w:val="000000"/>
          <w:sz w:val="24"/>
        </w:rPr>
        <w:t>3、签订合同时以小微企业投标价格为准。响应文件中必须如实填写小微企业声明函，并提供有效证明材料，并在《报价一览表》备注栏中写明，否则视为无效。</w:t>
      </w:r>
    </w:p>
    <w:p>
      <w:pPr>
        <w:pageBreakBefore w:val="0"/>
        <w:kinsoku/>
        <w:topLinePunct w:val="0"/>
        <w:bidi w:val="0"/>
        <w:spacing w:line="360" w:lineRule="auto"/>
        <w:outlineLvl w:val="1"/>
        <w:rPr>
          <w:rFonts w:ascii="宋体" w:hAnsi="宋体" w:cs="宋体"/>
          <w:b/>
          <w:color w:val="000000"/>
          <w:sz w:val="24"/>
        </w:rPr>
      </w:pPr>
      <w:r>
        <w:rPr>
          <w:rFonts w:ascii="宋体" w:hAnsi="宋体" w:cs="宋体"/>
          <w:b/>
          <w:color w:val="000000"/>
          <w:sz w:val="24"/>
        </w:rPr>
        <w:br w:type="page"/>
      </w:r>
      <w:r>
        <w:rPr>
          <w:rFonts w:hint="eastAsia" w:ascii="宋体" w:hAnsi="宋体" w:cs="宋体"/>
          <w:b/>
          <w:color w:val="000000"/>
          <w:sz w:val="24"/>
        </w:rPr>
        <w:t>二、商务部分（</w:t>
      </w:r>
      <w:r>
        <w:rPr>
          <w:rFonts w:hint="eastAsia" w:ascii="宋体" w:hAnsi="宋体" w:cs="宋体"/>
          <w:b/>
          <w:color w:val="000000"/>
          <w:sz w:val="24"/>
          <w:lang w:val="en-US" w:eastAsia="zh-CN"/>
        </w:rPr>
        <w:t>1</w:t>
      </w:r>
      <w:r>
        <w:rPr>
          <w:rFonts w:ascii="宋体" w:hAnsi="宋体" w:cs="宋体"/>
          <w:b/>
          <w:color w:val="000000"/>
          <w:sz w:val="24"/>
        </w:rPr>
        <w:t>0</w:t>
      </w:r>
      <w:r>
        <w:rPr>
          <w:rFonts w:hint="eastAsia" w:ascii="宋体" w:hAnsi="宋体" w:cs="宋体"/>
          <w:b/>
          <w:color w:val="000000"/>
          <w:sz w:val="24"/>
        </w:rPr>
        <w:t>分）</w:t>
      </w:r>
    </w:p>
    <w:tbl>
      <w:tblPr>
        <w:tblStyle w:val="18"/>
        <w:tblW w:w="9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1828"/>
        <w:gridCol w:w="6316"/>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572" w:type="dxa"/>
            <w:vAlign w:val="center"/>
          </w:tcPr>
          <w:p>
            <w:pPr>
              <w:pageBreakBefore w:val="0"/>
              <w:kinsoku/>
              <w:topLinePunct w:val="0"/>
              <w:bidi w:val="0"/>
              <w:snapToGrid w:val="0"/>
              <w:spacing w:line="360" w:lineRule="auto"/>
              <w:jc w:val="center"/>
              <w:rPr>
                <w:rFonts w:ascii="宋体" w:hAnsi="宋体" w:cs="宋体"/>
                <w:b/>
                <w:color w:val="000000"/>
                <w:sz w:val="24"/>
              </w:rPr>
            </w:pPr>
            <w:r>
              <w:rPr>
                <w:rFonts w:hint="eastAsia" w:ascii="宋体" w:hAnsi="宋体" w:cs="宋体"/>
                <w:b/>
                <w:color w:val="000000"/>
                <w:sz w:val="24"/>
              </w:rPr>
              <w:t>序号</w:t>
            </w:r>
          </w:p>
        </w:tc>
        <w:tc>
          <w:tcPr>
            <w:tcW w:w="1828" w:type="dxa"/>
            <w:vAlign w:val="center"/>
          </w:tcPr>
          <w:p>
            <w:pPr>
              <w:pageBreakBefore w:val="0"/>
              <w:kinsoku/>
              <w:topLinePunct w:val="0"/>
              <w:bidi w:val="0"/>
              <w:snapToGrid w:val="0"/>
              <w:spacing w:line="360" w:lineRule="auto"/>
              <w:jc w:val="center"/>
              <w:rPr>
                <w:rFonts w:ascii="宋体" w:hAnsi="宋体" w:cs="宋体"/>
                <w:b/>
                <w:color w:val="000000"/>
                <w:sz w:val="24"/>
              </w:rPr>
            </w:pPr>
            <w:r>
              <w:rPr>
                <w:rFonts w:hint="eastAsia" w:ascii="宋体" w:hAnsi="宋体" w:cs="宋体"/>
                <w:b/>
                <w:color w:val="000000"/>
                <w:sz w:val="24"/>
              </w:rPr>
              <w:t>评审内容</w:t>
            </w:r>
          </w:p>
        </w:tc>
        <w:tc>
          <w:tcPr>
            <w:tcW w:w="6316" w:type="dxa"/>
            <w:vAlign w:val="center"/>
          </w:tcPr>
          <w:p>
            <w:pPr>
              <w:pageBreakBefore w:val="0"/>
              <w:kinsoku/>
              <w:topLinePunct w:val="0"/>
              <w:bidi w:val="0"/>
              <w:snapToGrid w:val="0"/>
              <w:spacing w:line="360" w:lineRule="auto"/>
              <w:jc w:val="center"/>
              <w:rPr>
                <w:rFonts w:ascii="宋体" w:hAnsi="宋体" w:cs="宋体"/>
                <w:b/>
                <w:color w:val="000000"/>
                <w:sz w:val="24"/>
              </w:rPr>
            </w:pPr>
            <w:r>
              <w:rPr>
                <w:rFonts w:hint="eastAsia" w:ascii="宋体" w:hAnsi="宋体" w:cs="宋体"/>
                <w:b/>
                <w:color w:val="000000"/>
                <w:sz w:val="24"/>
              </w:rPr>
              <w:t>评分标准</w:t>
            </w:r>
          </w:p>
        </w:tc>
        <w:tc>
          <w:tcPr>
            <w:tcW w:w="780" w:type="dxa"/>
          </w:tcPr>
          <w:p>
            <w:pPr>
              <w:pageBreakBefore w:val="0"/>
              <w:kinsoku/>
              <w:topLinePunct w:val="0"/>
              <w:bidi w:val="0"/>
              <w:spacing w:line="360" w:lineRule="auto"/>
              <w:jc w:val="center"/>
              <w:rPr>
                <w:rFonts w:ascii="宋体" w:hAnsi="宋体" w:cs="宋体"/>
                <w:b/>
                <w:color w:val="000000"/>
                <w:sz w:val="24"/>
              </w:rPr>
            </w:pPr>
            <w:r>
              <w:rPr>
                <w:rFonts w:hint="eastAsia" w:ascii="宋体" w:hAnsi="宋体" w:cs="宋体"/>
                <w:b/>
                <w:color w:val="000000"/>
                <w:sz w:val="24"/>
              </w:rPr>
              <w:t>最高</w:t>
            </w:r>
          </w:p>
          <w:p>
            <w:pPr>
              <w:pageBreakBefore w:val="0"/>
              <w:kinsoku/>
              <w:topLinePunct w:val="0"/>
              <w:bidi w:val="0"/>
              <w:spacing w:line="360" w:lineRule="auto"/>
              <w:jc w:val="center"/>
              <w:rPr>
                <w:rFonts w:ascii="宋体" w:hAnsi="宋体" w:cs="宋体"/>
                <w:b/>
                <w:color w:val="000000"/>
                <w:sz w:val="24"/>
              </w:rPr>
            </w:pPr>
            <w:r>
              <w:rPr>
                <w:rFonts w:hint="eastAsia" w:ascii="宋体" w:hAnsi="宋体" w:cs="宋体"/>
                <w:b/>
                <w:color w:val="000000"/>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572" w:type="dxa"/>
            <w:vAlign w:val="center"/>
          </w:tcPr>
          <w:p>
            <w:pPr>
              <w:pageBreakBefore w:val="0"/>
              <w:kinsoku/>
              <w:topLinePunct w:val="0"/>
              <w:bidi w:val="0"/>
              <w:snapToGrid w:val="0"/>
              <w:spacing w:line="360" w:lineRule="auto"/>
              <w:jc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1</w:t>
            </w:r>
          </w:p>
        </w:tc>
        <w:tc>
          <w:tcPr>
            <w:tcW w:w="1828" w:type="dxa"/>
            <w:vAlign w:val="center"/>
          </w:tcPr>
          <w:p>
            <w:pPr>
              <w:pageBreakBefore w:val="0"/>
              <w:kinsoku/>
              <w:topLinePunct w:val="0"/>
              <w:bidi w:val="0"/>
              <w:snapToGrid w:val="0"/>
              <w:spacing w:line="360" w:lineRule="auto"/>
              <w:jc w:val="center"/>
              <w:rPr>
                <w:rFonts w:ascii="宋体" w:hAnsi="宋体" w:cs="宋体"/>
                <w:color w:val="000000"/>
                <w:sz w:val="24"/>
              </w:rPr>
            </w:pPr>
            <w:r>
              <w:rPr>
                <w:rFonts w:hint="eastAsia" w:ascii="宋体" w:hAnsi="宋体" w:cs="宋体"/>
                <w:color w:val="000000"/>
                <w:sz w:val="24"/>
              </w:rPr>
              <w:t>企业业绩</w:t>
            </w:r>
          </w:p>
        </w:tc>
        <w:tc>
          <w:tcPr>
            <w:tcW w:w="6316" w:type="dxa"/>
            <w:vAlign w:val="center"/>
          </w:tcPr>
          <w:p>
            <w:pPr>
              <w:pStyle w:val="39"/>
              <w:spacing w:line="360" w:lineRule="exact"/>
              <w:ind w:firstLine="240" w:firstLineChars="1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0</w:t>
            </w:r>
            <w:r>
              <w:rPr>
                <w:rFonts w:hint="eastAsia" w:ascii="宋体" w:hAnsi="宋体" w:cs="宋体"/>
                <w:color w:val="auto"/>
                <w:sz w:val="24"/>
                <w:highlight w:val="none"/>
                <w:lang w:val="en-US" w:eastAsia="zh-CN"/>
              </w:rPr>
              <w:t>20</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7月</w:t>
            </w:r>
            <w:r>
              <w:rPr>
                <w:rFonts w:hint="eastAsia" w:ascii="宋体" w:hAnsi="宋体" w:cs="宋体"/>
                <w:color w:val="auto"/>
                <w:sz w:val="24"/>
                <w:highlight w:val="none"/>
              </w:rPr>
              <w:t>至今，</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承接</w:t>
            </w:r>
            <w:r>
              <w:rPr>
                <w:rFonts w:hint="eastAsia" w:ascii="宋体" w:hAnsi="宋体" w:cs="宋体"/>
                <w:color w:val="auto"/>
                <w:sz w:val="24"/>
                <w:highlight w:val="none"/>
                <w:lang w:val="en-US" w:eastAsia="zh-CN"/>
              </w:rPr>
              <w:t>建筑工程</w:t>
            </w:r>
            <w:r>
              <w:rPr>
                <w:color w:val="auto"/>
                <w:sz w:val="24"/>
                <w:highlight w:val="none"/>
                <w:lang w:eastAsia="zh-CN"/>
              </w:rPr>
              <w:t>项目</w:t>
            </w:r>
            <w:r>
              <w:rPr>
                <w:rFonts w:hint="eastAsia"/>
                <w:color w:val="auto"/>
                <w:sz w:val="24"/>
                <w:highlight w:val="none"/>
                <w:lang w:val="en-US" w:eastAsia="zh-CN"/>
              </w:rPr>
              <w:t>类似</w:t>
            </w:r>
            <w:r>
              <w:rPr>
                <w:rFonts w:hint="eastAsia" w:ascii="宋体" w:hAnsi="宋体" w:cs="宋体"/>
                <w:color w:val="auto"/>
                <w:sz w:val="24"/>
                <w:highlight w:val="none"/>
              </w:rPr>
              <w:t>业绩的，每提供一个业绩得</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分，最高得</w:t>
            </w:r>
            <w:r>
              <w:rPr>
                <w:rFonts w:hint="eastAsia" w:ascii="宋体" w:hAnsi="宋体" w:cs="宋体"/>
                <w:color w:val="auto"/>
                <w:sz w:val="24"/>
                <w:highlight w:val="none"/>
                <w:lang w:val="en-US" w:eastAsia="zh-CN"/>
              </w:rPr>
              <w:t>10</w:t>
            </w:r>
            <w:r>
              <w:rPr>
                <w:rFonts w:hint="eastAsia" w:ascii="宋体" w:hAnsi="宋体" w:cs="宋体"/>
                <w:color w:val="auto"/>
                <w:sz w:val="24"/>
                <w:highlight w:val="none"/>
              </w:rPr>
              <w:t>分。</w:t>
            </w:r>
          </w:p>
          <w:p>
            <w:pPr>
              <w:pStyle w:val="39"/>
              <w:pageBreakBefore w:val="0"/>
              <w:kinsoku/>
              <w:topLinePunct w:val="0"/>
              <w:bidi w:val="0"/>
              <w:spacing w:line="360" w:lineRule="auto"/>
              <w:ind w:firstLine="240" w:firstLineChars="100"/>
              <w:rPr>
                <w:rFonts w:hint="eastAsia" w:ascii="宋体" w:hAnsi="宋体" w:cs="宋体"/>
                <w:color w:val="000000"/>
                <w:sz w:val="24"/>
              </w:rPr>
            </w:pPr>
            <w:r>
              <w:rPr>
                <w:rFonts w:hint="eastAsia" w:ascii="宋体" w:hAnsi="宋体" w:cs="宋体"/>
                <w:color w:val="auto"/>
                <w:sz w:val="24"/>
                <w:highlight w:val="none"/>
              </w:rPr>
              <w:t>证明材料：提供业绩合同复印件加盖公章（以合同签订时间为准）。</w:t>
            </w:r>
          </w:p>
        </w:tc>
        <w:tc>
          <w:tcPr>
            <w:tcW w:w="780" w:type="dxa"/>
            <w:vAlign w:val="center"/>
          </w:tcPr>
          <w:p>
            <w:pPr>
              <w:pageBreakBefore w:val="0"/>
              <w:kinsoku/>
              <w:topLinePunct w:val="0"/>
              <w:bidi w:val="0"/>
              <w:spacing w:line="360" w:lineRule="auto"/>
              <w:jc w:val="center"/>
              <w:rPr>
                <w:rFonts w:ascii="宋体" w:hAnsi="宋体" w:cs="宋体"/>
                <w:color w:val="000000"/>
                <w:sz w:val="24"/>
              </w:rPr>
            </w:pPr>
            <w:r>
              <w:rPr>
                <w:rFonts w:hint="eastAsia" w:ascii="宋体" w:hAnsi="宋体" w:cs="宋体"/>
                <w:color w:val="000000"/>
                <w:sz w:val="24"/>
                <w:lang w:val="en-US" w:eastAsia="zh-CN"/>
              </w:rPr>
              <w:t>10</w:t>
            </w:r>
            <w:r>
              <w:rPr>
                <w:rFonts w:hint="eastAsia" w:ascii="宋体" w:hAnsi="宋体" w:cs="宋体"/>
                <w:color w:val="000000"/>
                <w:sz w:val="24"/>
              </w:rPr>
              <w:t>分</w:t>
            </w:r>
          </w:p>
        </w:tc>
      </w:tr>
    </w:tbl>
    <w:p>
      <w:pPr>
        <w:pageBreakBefore w:val="0"/>
        <w:kinsoku/>
        <w:topLinePunct w:val="0"/>
        <w:bidi w:val="0"/>
        <w:spacing w:line="360" w:lineRule="auto"/>
        <w:rPr>
          <w:rFonts w:ascii="宋体" w:hAnsi="宋体" w:cs="宋体"/>
          <w:b/>
          <w:bCs/>
          <w:color w:val="000000"/>
          <w:sz w:val="24"/>
        </w:rPr>
      </w:pPr>
      <w:r>
        <w:rPr>
          <w:rFonts w:hint="eastAsia" w:ascii="宋体" w:hAnsi="宋体" w:cs="宋体"/>
          <w:b/>
          <w:bCs/>
          <w:color w:val="000000"/>
          <w:sz w:val="24"/>
        </w:rPr>
        <w:t>三、技术部分（</w:t>
      </w:r>
      <w:r>
        <w:rPr>
          <w:rFonts w:hint="eastAsia" w:ascii="宋体" w:hAnsi="宋体" w:cs="宋体"/>
          <w:b/>
          <w:bCs/>
          <w:color w:val="000000"/>
          <w:sz w:val="24"/>
          <w:lang w:val="en-US" w:eastAsia="zh-CN"/>
        </w:rPr>
        <w:t>6</w:t>
      </w:r>
      <w:r>
        <w:rPr>
          <w:rFonts w:hint="eastAsia" w:ascii="宋体" w:hAnsi="宋体" w:cs="宋体"/>
          <w:b/>
          <w:bCs/>
          <w:color w:val="000000"/>
          <w:sz w:val="24"/>
        </w:rPr>
        <w:t>0分）</w:t>
      </w:r>
    </w:p>
    <w:p>
      <w:pPr>
        <w:pageBreakBefore w:val="0"/>
        <w:kinsoku/>
        <w:topLinePunct w:val="0"/>
        <w:bidi w:val="0"/>
        <w:spacing w:line="360" w:lineRule="auto"/>
        <w:ind w:firstLine="482" w:firstLineChars="200"/>
        <w:jc w:val="center"/>
        <w:rPr>
          <w:rFonts w:hint="eastAsia"/>
          <w:b/>
          <w:bCs/>
          <w:color w:val="000000"/>
          <w:sz w:val="24"/>
          <w:highlight w:val="none"/>
        </w:rPr>
      </w:pPr>
    </w:p>
    <w:tbl>
      <w:tblPr>
        <w:tblStyle w:val="18"/>
        <w:tblW w:w="0" w:type="auto"/>
        <w:jc w:val="center"/>
        <w:tblLayout w:type="fixed"/>
        <w:tblCellMar>
          <w:top w:w="0" w:type="dxa"/>
          <w:left w:w="108" w:type="dxa"/>
          <w:bottom w:w="0" w:type="dxa"/>
          <w:right w:w="108" w:type="dxa"/>
        </w:tblCellMar>
      </w:tblPr>
      <w:tblGrid>
        <w:gridCol w:w="568"/>
        <w:gridCol w:w="1650"/>
        <w:gridCol w:w="1233"/>
        <w:gridCol w:w="5607"/>
      </w:tblGrid>
      <w:tr>
        <w:tblPrEx>
          <w:tblCellMar>
            <w:top w:w="0" w:type="dxa"/>
            <w:left w:w="108" w:type="dxa"/>
            <w:bottom w:w="0" w:type="dxa"/>
            <w:right w:w="108" w:type="dxa"/>
          </w:tblCellMar>
        </w:tblPrEx>
        <w:trPr>
          <w:trHeight w:val="376" w:hRule="atLeast"/>
          <w:jc w:val="center"/>
        </w:trPr>
        <w:tc>
          <w:tcPr>
            <w:tcW w:w="9058" w:type="dxa"/>
            <w:gridSpan w:val="4"/>
            <w:tcBorders>
              <w:top w:val="single" w:color="000000" w:sz="4" w:space="0"/>
              <w:left w:val="single" w:color="000000" w:sz="4" w:space="0"/>
              <w:bottom w:val="single" w:color="000000" w:sz="4" w:space="0"/>
              <w:right w:val="single" w:color="000000" w:sz="4" w:space="0"/>
            </w:tcBorders>
            <w:vAlign w:val="center"/>
          </w:tcPr>
          <w:p>
            <w:pPr>
              <w:pageBreakBefore w:val="0"/>
              <w:widowControl/>
              <w:kinsoku/>
              <w:topLinePunct w:val="0"/>
              <w:bidi w:val="0"/>
              <w:spacing w:line="360" w:lineRule="auto"/>
              <w:jc w:val="center"/>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技术部分（</w:t>
            </w:r>
            <w:r>
              <w:rPr>
                <w:rFonts w:hint="eastAsia" w:ascii="宋体" w:hAnsi="宋体" w:eastAsia="宋体" w:cs="宋体"/>
                <w:b/>
                <w:bCs/>
                <w:color w:val="000000"/>
                <w:kern w:val="0"/>
                <w:sz w:val="24"/>
                <w:szCs w:val="24"/>
                <w:highlight w:val="none"/>
                <w:lang w:val="en-US" w:eastAsia="zh-CN"/>
              </w:rPr>
              <w:t>6</w:t>
            </w:r>
            <w:r>
              <w:rPr>
                <w:rFonts w:hint="eastAsia" w:ascii="宋体" w:hAnsi="宋体" w:eastAsia="宋体" w:cs="宋体"/>
                <w:b/>
                <w:bCs/>
                <w:color w:val="000000"/>
                <w:kern w:val="0"/>
                <w:sz w:val="24"/>
                <w:szCs w:val="24"/>
                <w:highlight w:val="none"/>
              </w:rPr>
              <w:t>0分）</w:t>
            </w:r>
          </w:p>
        </w:tc>
      </w:tr>
      <w:tr>
        <w:tblPrEx>
          <w:tblCellMar>
            <w:top w:w="0" w:type="dxa"/>
            <w:left w:w="108" w:type="dxa"/>
            <w:bottom w:w="0" w:type="dxa"/>
            <w:right w:w="108" w:type="dxa"/>
          </w:tblCellMar>
        </w:tblPrEx>
        <w:trPr>
          <w:trHeight w:val="383" w:hRule="atLeast"/>
          <w:jc w:val="center"/>
        </w:trPr>
        <w:tc>
          <w:tcPr>
            <w:tcW w:w="568" w:type="dxa"/>
            <w:vMerge w:val="restart"/>
            <w:tcBorders>
              <w:top w:val="single" w:color="000000" w:sz="4" w:space="0"/>
              <w:left w:val="single" w:color="000000" w:sz="4" w:space="0"/>
              <w:right w:val="single" w:color="000000" w:sz="4" w:space="0"/>
            </w:tcBorders>
            <w:vAlign w:val="center"/>
          </w:tcPr>
          <w:p>
            <w:pPr>
              <w:pageBreakBefore w:val="0"/>
              <w:widowControl/>
              <w:kinsoku/>
              <w:topLinePunct w:val="0"/>
              <w:bidi w:val="0"/>
              <w:spacing w:line="360" w:lineRule="auto"/>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w:t>
            </w:r>
          </w:p>
        </w:tc>
        <w:tc>
          <w:tcPr>
            <w:tcW w:w="1650" w:type="dxa"/>
            <w:vMerge w:val="restart"/>
            <w:tcBorders>
              <w:top w:val="single" w:color="000000" w:sz="4" w:space="0"/>
              <w:left w:val="nil"/>
              <w:right w:val="single" w:color="000000" w:sz="4" w:space="0"/>
            </w:tcBorders>
            <w:vAlign w:val="center"/>
          </w:tcPr>
          <w:p>
            <w:pPr>
              <w:pageBreakBefore w:val="0"/>
              <w:kinsoku/>
              <w:topLinePunct w:val="0"/>
              <w:autoSpaceDE w:val="0"/>
              <w:autoSpaceDN w:val="0"/>
              <w:bidi w:val="0"/>
              <w:adjustRightInd w:val="0"/>
              <w:spacing w:line="360" w:lineRule="auto"/>
              <w:ind w:firstLine="480" w:firstLineChars="200"/>
              <w:jc w:val="both"/>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施工</w:t>
            </w:r>
          </w:p>
          <w:p>
            <w:pPr>
              <w:pageBreakBefore w:val="0"/>
              <w:kinsoku/>
              <w:topLinePunct w:val="0"/>
              <w:autoSpaceDE w:val="0"/>
              <w:autoSpaceDN w:val="0"/>
              <w:bidi w:val="0"/>
              <w:adjustRightInd w:val="0"/>
              <w:spacing w:line="360" w:lineRule="auto"/>
              <w:ind w:firstLine="480" w:firstLineChars="200"/>
              <w:jc w:val="both"/>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组织</w:t>
            </w:r>
          </w:p>
          <w:p>
            <w:pPr>
              <w:pageBreakBefore w:val="0"/>
              <w:kinsoku/>
              <w:topLinePunct w:val="0"/>
              <w:autoSpaceDE w:val="0"/>
              <w:autoSpaceDN w:val="0"/>
              <w:bidi w:val="0"/>
              <w:adjustRightInd w:val="0"/>
              <w:spacing w:line="360" w:lineRule="auto"/>
              <w:ind w:firstLine="480" w:firstLineChars="200"/>
              <w:jc w:val="both"/>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设计</w:t>
            </w:r>
          </w:p>
          <w:p>
            <w:pPr>
              <w:pageBreakBefore w:val="0"/>
              <w:kinsoku/>
              <w:topLinePunct w:val="0"/>
              <w:autoSpaceDE w:val="0"/>
              <w:autoSpaceDN w:val="0"/>
              <w:bidi w:val="0"/>
              <w:adjustRightInd w:val="0"/>
              <w:spacing w:line="360" w:lineRule="auto"/>
              <w:ind w:firstLine="480" w:firstLineChars="200"/>
              <w:jc w:val="both"/>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评分</w:t>
            </w:r>
          </w:p>
          <w:p>
            <w:pPr>
              <w:pageBreakBefore w:val="0"/>
              <w:kinsoku/>
              <w:topLinePunct w:val="0"/>
              <w:autoSpaceDE w:val="0"/>
              <w:autoSpaceDN w:val="0"/>
              <w:bidi w:val="0"/>
              <w:adjustRightInd w:val="0"/>
              <w:spacing w:line="360" w:lineRule="auto"/>
              <w:ind w:firstLine="480" w:firstLineChars="200"/>
              <w:jc w:val="both"/>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标准</w:t>
            </w:r>
          </w:p>
          <w:p>
            <w:pPr>
              <w:pageBreakBefore w:val="0"/>
              <w:kinsoku/>
              <w:topLinePunct w:val="0"/>
              <w:autoSpaceDE w:val="0"/>
              <w:autoSpaceDN w:val="0"/>
              <w:bidi w:val="0"/>
              <w:adjustRightInd w:val="0"/>
              <w:spacing w:line="360" w:lineRule="auto"/>
              <w:ind w:firstLine="240" w:firstLineChars="100"/>
              <w:jc w:val="both"/>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lang w:val="en-US" w:eastAsia="zh-CN"/>
              </w:rPr>
              <w:t>（60分）</w:t>
            </w:r>
          </w:p>
        </w:tc>
        <w:tc>
          <w:tcPr>
            <w:tcW w:w="1233" w:type="dxa"/>
            <w:tcBorders>
              <w:top w:val="single" w:color="000000" w:sz="4" w:space="0"/>
              <w:left w:val="nil"/>
              <w:bottom w:val="single" w:color="000000" w:sz="4" w:space="0"/>
              <w:right w:val="single" w:color="000000" w:sz="4" w:space="0"/>
            </w:tcBorders>
            <w:vAlign w:val="center"/>
          </w:tcPr>
          <w:p>
            <w:pPr>
              <w:pageBreakBefore w:val="0"/>
              <w:kinsoku/>
              <w:topLinePunct w:val="0"/>
              <w:autoSpaceDE w:val="0"/>
              <w:autoSpaceDN w:val="0"/>
              <w:bidi w:val="0"/>
              <w:adjustRightInd w:val="0"/>
              <w:spacing w:line="360" w:lineRule="auto"/>
              <w:jc w:val="both"/>
              <w:rPr>
                <w:rFonts w:hint="default" w:ascii="宋体" w:hAnsi="宋体" w:eastAsia="宋体" w:cs="宋体"/>
                <w:color w:val="000000"/>
                <w:sz w:val="24"/>
                <w:szCs w:val="24"/>
                <w:lang w:val="en-US" w:eastAsia="zh-CN"/>
              </w:rPr>
            </w:pPr>
            <w:r>
              <w:rPr>
                <w:rFonts w:hint="eastAsia" w:ascii="宋体" w:hAnsi="宋体" w:cs="宋体"/>
                <w:color w:val="auto"/>
                <w:sz w:val="24"/>
                <w:highlight w:val="none"/>
                <w:lang w:bidi="ar"/>
              </w:rPr>
              <w:t>项目实施方案与技术措施</w:t>
            </w:r>
            <w:r>
              <w:rPr>
                <w:rFonts w:hint="eastAsia" w:ascii="宋体" w:hAnsi="宋体" w:cs="宋体"/>
                <w:color w:val="auto"/>
                <w:sz w:val="24"/>
                <w:highlight w:val="none"/>
                <w:lang w:eastAsia="zh-CN" w:bidi="ar"/>
              </w:rPr>
              <w:t>（</w:t>
            </w:r>
            <w:r>
              <w:rPr>
                <w:rFonts w:hint="eastAsia" w:ascii="宋体" w:hAnsi="宋体" w:cs="宋体"/>
                <w:color w:val="auto"/>
                <w:sz w:val="24"/>
                <w:highlight w:val="none"/>
                <w:lang w:val="en-US" w:eastAsia="zh-CN" w:bidi="ar"/>
              </w:rPr>
              <w:t>15分）</w:t>
            </w:r>
          </w:p>
        </w:tc>
        <w:tc>
          <w:tcPr>
            <w:tcW w:w="5607" w:type="dxa"/>
            <w:tcBorders>
              <w:top w:val="single" w:color="000000" w:sz="4" w:space="0"/>
              <w:left w:val="nil"/>
              <w:bottom w:val="single" w:color="000000" w:sz="4" w:space="0"/>
              <w:right w:val="single" w:color="000000" w:sz="4" w:space="0"/>
            </w:tcBorders>
            <w:vAlign w:val="center"/>
          </w:tcPr>
          <w:p>
            <w:pPr>
              <w:rPr>
                <w:rFonts w:ascii="宋体" w:hAnsi="宋体" w:cs="宋体"/>
                <w:color w:val="auto"/>
                <w:sz w:val="24"/>
                <w:highlight w:val="none"/>
              </w:rPr>
            </w:pPr>
            <w:r>
              <w:rPr>
                <w:rFonts w:hint="eastAsia" w:ascii="宋体" w:hAnsi="宋体" w:cs="宋体"/>
                <w:color w:val="auto"/>
                <w:sz w:val="24"/>
                <w:highlight w:val="none"/>
                <w:lang w:bidi="ar"/>
              </w:rPr>
              <w:t>A.项目实施方案与技术措施科学合理，适用性强，思路清晰，内容全面，能够根据实际情况制订，满足采购人的需要，考虑问题周全</w:t>
            </w:r>
            <w:r>
              <w:rPr>
                <w:rFonts w:hint="eastAsia" w:ascii="宋体" w:hAnsi="宋体" w:cs="宋体"/>
                <w:color w:val="auto"/>
                <w:sz w:val="24"/>
                <w:highlight w:val="none"/>
                <w:lang w:eastAsia="zh-CN" w:bidi="ar"/>
              </w:rPr>
              <w:t>的得</w:t>
            </w:r>
            <w:r>
              <w:rPr>
                <w:rFonts w:hint="eastAsia" w:ascii="宋体" w:hAnsi="宋体" w:cs="宋体"/>
                <w:color w:val="auto"/>
                <w:sz w:val="24"/>
                <w:highlight w:val="none"/>
                <w:lang w:val="en-US" w:eastAsia="zh-CN" w:bidi="ar"/>
              </w:rPr>
              <w:t>15</w:t>
            </w:r>
            <w:r>
              <w:rPr>
                <w:rFonts w:hint="eastAsia" w:ascii="宋体" w:hAnsi="宋体" w:cs="宋体"/>
                <w:color w:val="auto"/>
                <w:sz w:val="24"/>
                <w:highlight w:val="none"/>
                <w:lang w:bidi="ar"/>
              </w:rPr>
              <w:t>分；</w:t>
            </w:r>
          </w:p>
          <w:p>
            <w:pPr>
              <w:rPr>
                <w:rFonts w:hint="eastAsia" w:ascii="宋体" w:hAnsi="宋体" w:cs="宋体"/>
                <w:color w:val="auto"/>
                <w:sz w:val="24"/>
                <w:highlight w:val="none"/>
              </w:rPr>
            </w:pPr>
            <w:r>
              <w:rPr>
                <w:rFonts w:hint="eastAsia" w:ascii="宋体" w:hAnsi="宋体" w:cs="宋体"/>
                <w:color w:val="auto"/>
                <w:sz w:val="24"/>
                <w:highlight w:val="none"/>
                <w:lang w:bidi="ar"/>
              </w:rPr>
              <w:t>B.项目实施方案与技术措施基本能够满足采购需要，操作性不强</w:t>
            </w:r>
            <w:r>
              <w:rPr>
                <w:rFonts w:hint="eastAsia" w:ascii="宋体" w:hAnsi="宋体" w:cs="宋体"/>
                <w:color w:val="auto"/>
                <w:sz w:val="24"/>
                <w:highlight w:val="none"/>
                <w:lang w:eastAsia="zh-CN" w:bidi="ar"/>
              </w:rPr>
              <w:t>的得</w:t>
            </w:r>
            <w:r>
              <w:rPr>
                <w:rFonts w:hint="eastAsia" w:ascii="宋体" w:hAnsi="宋体" w:cs="宋体"/>
                <w:color w:val="auto"/>
                <w:sz w:val="24"/>
                <w:highlight w:val="none"/>
                <w:lang w:val="en-US" w:eastAsia="zh-CN" w:bidi="ar"/>
              </w:rPr>
              <w:t>10</w:t>
            </w:r>
            <w:r>
              <w:rPr>
                <w:rFonts w:hint="eastAsia" w:ascii="宋体" w:hAnsi="宋体" w:cs="宋体"/>
                <w:color w:val="auto"/>
                <w:sz w:val="24"/>
                <w:highlight w:val="none"/>
                <w:lang w:bidi="ar"/>
              </w:rPr>
              <w:t>分；</w:t>
            </w:r>
          </w:p>
          <w:p>
            <w:pPr>
              <w:rPr>
                <w:rFonts w:hint="eastAsia" w:ascii="宋体" w:hAnsi="宋体" w:cs="宋体"/>
                <w:color w:val="auto"/>
                <w:sz w:val="24"/>
                <w:highlight w:val="none"/>
              </w:rPr>
            </w:pPr>
            <w:r>
              <w:rPr>
                <w:rFonts w:hint="eastAsia" w:ascii="宋体" w:hAnsi="宋体" w:cs="宋体"/>
                <w:color w:val="auto"/>
                <w:sz w:val="24"/>
                <w:highlight w:val="none"/>
                <w:lang w:bidi="ar"/>
              </w:rPr>
              <w:t>C.施工方案与技术措施不合理</w:t>
            </w:r>
            <w:r>
              <w:rPr>
                <w:rFonts w:hint="eastAsia" w:ascii="宋体" w:hAnsi="宋体" w:cs="宋体"/>
                <w:color w:val="auto"/>
                <w:sz w:val="24"/>
                <w:highlight w:val="none"/>
                <w:lang w:eastAsia="zh-CN" w:bidi="ar"/>
              </w:rPr>
              <w:t>的得</w:t>
            </w:r>
            <w:r>
              <w:rPr>
                <w:rFonts w:hint="eastAsia" w:ascii="宋体" w:hAnsi="宋体" w:cs="宋体"/>
                <w:color w:val="auto"/>
                <w:sz w:val="24"/>
                <w:highlight w:val="none"/>
                <w:lang w:val="en-US" w:eastAsia="zh-CN" w:bidi="ar"/>
              </w:rPr>
              <w:t>5</w:t>
            </w:r>
            <w:r>
              <w:rPr>
                <w:rFonts w:hint="eastAsia" w:ascii="宋体" w:hAnsi="宋体" w:cs="宋体"/>
                <w:color w:val="auto"/>
                <w:sz w:val="24"/>
                <w:highlight w:val="none"/>
                <w:lang w:bidi="ar"/>
              </w:rPr>
              <w:t>分；</w:t>
            </w:r>
          </w:p>
          <w:p>
            <w:pPr>
              <w:pageBreakBefore w:val="0"/>
              <w:kinsoku/>
              <w:topLinePunct w:val="0"/>
              <w:autoSpaceDE w:val="0"/>
              <w:autoSpaceDN w:val="0"/>
              <w:bidi w:val="0"/>
              <w:adjustRightInd w:val="0"/>
              <w:spacing w:line="360" w:lineRule="auto"/>
              <w:jc w:val="both"/>
              <w:rPr>
                <w:rFonts w:hint="eastAsia" w:ascii="宋体" w:hAnsi="宋体" w:eastAsia="宋体" w:cs="宋体"/>
                <w:color w:val="000000"/>
                <w:sz w:val="24"/>
                <w:szCs w:val="24"/>
              </w:rPr>
            </w:pPr>
            <w:r>
              <w:rPr>
                <w:rFonts w:hint="eastAsia" w:ascii="宋体" w:hAnsi="宋体" w:cs="宋体"/>
                <w:color w:val="auto"/>
                <w:sz w:val="24"/>
                <w:highlight w:val="none"/>
                <w:lang w:bidi="ar"/>
              </w:rPr>
              <w:t>D.不提供者得0分。</w:t>
            </w:r>
          </w:p>
        </w:tc>
      </w:tr>
      <w:tr>
        <w:tblPrEx>
          <w:tblCellMar>
            <w:top w:w="0" w:type="dxa"/>
            <w:left w:w="108" w:type="dxa"/>
            <w:bottom w:w="0" w:type="dxa"/>
            <w:right w:w="108" w:type="dxa"/>
          </w:tblCellMar>
        </w:tblPrEx>
        <w:trPr>
          <w:trHeight w:val="90" w:hRule="atLeast"/>
          <w:jc w:val="center"/>
        </w:trPr>
        <w:tc>
          <w:tcPr>
            <w:tcW w:w="568" w:type="dxa"/>
            <w:vMerge w:val="continue"/>
            <w:tcBorders>
              <w:left w:val="single" w:color="000000" w:sz="4" w:space="0"/>
              <w:right w:val="single" w:color="000000" w:sz="4" w:space="0"/>
            </w:tcBorders>
            <w:vAlign w:val="center"/>
          </w:tcPr>
          <w:p>
            <w:pPr>
              <w:pageBreakBefore w:val="0"/>
              <w:widowControl/>
              <w:kinsoku/>
              <w:topLinePunct w:val="0"/>
              <w:bidi w:val="0"/>
              <w:spacing w:line="360" w:lineRule="auto"/>
              <w:jc w:val="left"/>
              <w:rPr>
                <w:rFonts w:hint="eastAsia" w:ascii="宋体" w:hAnsi="宋体" w:eastAsia="宋体" w:cs="宋体"/>
                <w:color w:val="000000"/>
                <w:sz w:val="24"/>
                <w:szCs w:val="24"/>
                <w:highlight w:val="none"/>
              </w:rPr>
            </w:pPr>
          </w:p>
        </w:tc>
        <w:tc>
          <w:tcPr>
            <w:tcW w:w="1650" w:type="dxa"/>
            <w:vMerge w:val="continue"/>
            <w:tcBorders>
              <w:left w:val="nil"/>
              <w:right w:val="single" w:color="000000" w:sz="4" w:space="0"/>
            </w:tcBorders>
            <w:vAlign w:val="center"/>
          </w:tcPr>
          <w:p>
            <w:pPr>
              <w:pageBreakBefore w:val="0"/>
              <w:widowControl/>
              <w:kinsoku/>
              <w:topLinePunct w:val="0"/>
              <w:bidi w:val="0"/>
              <w:spacing w:line="360" w:lineRule="auto"/>
              <w:jc w:val="left"/>
              <w:rPr>
                <w:rFonts w:hint="eastAsia" w:ascii="宋体" w:hAnsi="宋体" w:eastAsia="宋体" w:cs="宋体"/>
                <w:color w:val="000000"/>
                <w:sz w:val="24"/>
                <w:szCs w:val="24"/>
                <w:highlight w:val="none"/>
              </w:rPr>
            </w:pPr>
          </w:p>
        </w:tc>
        <w:tc>
          <w:tcPr>
            <w:tcW w:w="1233" w:type="dxa"/>
            <w:tcBorders>
              <w:top w:val="single" w:color="000000" w:sz="4" w:space="0"/>
              <w:left w:val="nil"/>
              <w:bottom w:val="single" w:color="000000" w:sz="4" w:space="0"/>
              <w:right w:val="single" w:color="000000" w:sz="4" w:space="0"/>
            </w:tcBorders>
            <w:vAlign w:val="center"/>
          </w:tcPr>
          <w:p>
            <w:pPr>
              <w:pageBreakBefore w:val="0"/>
              <w:kinsoku/>
              <w:topLinePunct w:val="0"/>
              <w:autoSpaceDE w:val="0"/>
              <w:autoSpaceDN w:val="0"/>
              <w:bidi w:val="0"/>
              <w:adjustRightInd w:val="0"/>
              <w:spacing w:line="360" w:lineRule="auto"/>
              <w:jc w:val="both"/>
              <w:rPr>
                <w:rFonts w:hint="default" w:ascii="宋体" w:hAnsi="宋体" w:eastAsia="宋体" w:cs="宋体"/>
                <w:color w:val="000000"/>
                <w:sz w:val="24"/>
                <w:szCs w:val="24"/>
                <w:lang w:val="en-US" w:eastAsia="zh-CN"/>
              </w:rPr>
            </w:pPr>
            <w:r>
              <w:rPr>
                <w:rFonts w:hint="eastAsia" w:ascii="宋体" w:hAnsi="宋体" w:cs="宋体"/>
                <w:color w:val="auto"/>
                <w:sz w:val="24"/>
                <w:highlight w:val="none"/>
                <w:lang w:bidi="ar"/>
              </w:rPr>
              <w:t>质量管理体系与措施</w:t>
            </w:r>
            <w:r>
              <w:rPr>
                <w:rFonts w:hint="eastAsia" w:ascii="宋体" w:hAnsi="宋体" w:cs="宋体"/>
                <w:color w:val="auto"/>
                <w:sz w:val="24"/>
                <w:highlight w:val="none"/>
                <w:lang w:eastAsia="zh-CN" w:bidi="ar"/>
              </w:rPr>
              <w:t>（</w:t>
            </w:r>
            <w:r>
              <w:rPr>
                <w:rFonts w:hint="eastAsia" w:ascii="宋体" w:hAnsi="宋体" w:cs="宋体"/>
                <w:color w:val="auto"/>
                <w:sz w:val="24"/>
                <w:highlight w:val="none"/>
                <w:lang w:val="en-US" w:eastAsia="zh-CN" w:bidi="ar"/>
              </w:rPr>
              <w:t>13分）</w:t>
            </w:r>
          </w:p>
        </w:tc>
        <w:tc>
          <w:tcPr>
            <w:tcW w:w="5607" w:type="dxa"/>
            <w:tcBorders>
              <w:top w:val="single" w:color="000000" w:sz="4" w:space="0"/>
              <w:left w:val="nil"/>
              <w:bottom w:val="single" w:color="000000" w:sz="4" w:space="0"/>
              <w:right w:val="single" w:color="000000" w:sz="4" w:space="0"/>
            </w:tcBorders>
            <w:vAlign w:val="center"/>
          </w:tcPr>
          <w:p>
            <w:pPr>
              <w:jc w:val="left"/>
              <w:rPr>
                <w:rFonts w:hint="eastAsia" w:ascii="宋体" w:hAnsi="宋体" w:cs="宋体"/>
                <w:color w:val="auto"/>
                <w:sz w:val="24"/>
                <w:highlight w:val="none"/>
              </w:rPr>
            </w:pPr>
            <w:r>
              <w:rPr>
                <w:rFonts w:hint="eastAsia" w:ascii="宋体" w:hAnsi="宋体" w:cs="宋体"/>
                <w:color w:val="auto"/>
                <w:sz w:val="24"/>
                <w:highlight w:val="none"/>
                <w:lang w:bidi="ar"/>
              </w:rPr>
              <w:t>A.质量管理体系与措施科学合理，适用性强，组织机构形式合理，具体措施合理、可行，考虑问题周全</w:t>
            </w:r>
            <w:r>
              <w:rPr>
                <w:rFonts w:hint="eastAsia" w:ascii="宋体" w:hAnsi="宋体" w:cs="宋体"/>
                <w:color w:val="auto"/>
                <w:sz w:val="24"/>
                <w:highlight w:val="none"/>
                <w:lang w:eastAsia="zh-CN" w:bidi="ar"/>
              </w:rPr>
              <w:t>的得</w:t>
            </w:r>
            <w:r>
              <w:rPr>
                <w:rFonts w:hint="eastAsia" w:ascii="宋体" w:hAnsi="宋体" w:cs="宋体"/>
                <w:color w:val="auto"/>
                <w:sz w:val="24"/>
                <w:highlight w:val="none"/>
                <w:lang w:val="en-US" w:eastAsia="zh-CN" w:bidi="ar"/>
              </w:rPr>
              <w:t>13</w:t>
            </w:r>
            <w:r>
              <w:rPr>
                <w:rFonts w:hint="eastAsia" w:ascii="宋体" w:hAnsi="宋体" w:cs="宋体"/>
                <w:color w:val="auto"/>
                <w:sz w:val="24"/>
                <w:highlight w:val="none"/>
                <w:lang w:bidi="ar"/>
              </w:rPr>
              <w:t>分；</w:t>
            </w:r>
          </w:p>
          <w:p>
            <w:pPr>
              <w:jc w:val="left"/>
              <w:rPr>
                <w:rFonts w:hint="eastAsia" w:ascii="宋体" w:hAnsi="宋体" w:cs="宋体"/>
                <w:color w:val="auto"/>
                <w:sz w:val="24"/>
                <w:highlight w:val="none"/>
              </w:rPr>
            </w:pPr>
            <w:r>
              <w:rPr>
                <w:rFonts w:hint="eastAsia" w:ascii="宋体" w:hAnsi="宋体" w:cs="宋体"/>
                <w:color w:val="auto"/>
                <w:sz w:val="24"/>
                <w:highlight w:val="none"/>
                <w:lang w:bidi="ar"/>
              </w:rPr>
              <w:t>B.质量管理体系与措施基本能够满足需要，操作性不强</w:t>
            </w:r>
            <w:r>
              <w:rPr>
                <w:rFonts w:hint="eastAsia" w:ascii="宋体" w:hAnsi="宋体" w:cs="宋体"/>
                <w:color w:val="auto"/>
                <w:sz w:val="24"/>
                <w:highlight w:val="none"/>
                <w:lang w:eastAsia="zh-CN" w:bidi="ar"/>
              </w:rPr>
              <w:t>的得</w:t>
            </w:r>
            <w:r>
              <w:rPr>
                <w:rFonts w:hint="eastAsia" w:ascii="宋体" w:hAnsi="宋体" w:cs="宋体"/>
                <w:color w:val="auto"/>
                <w:sz w:val="24"/>
                <w:highlight w:val="none"/>
                <w:lang w:val="en-US" w:eastAsia="zh-CN" w:bidi="ar"/>
              </w:rPr>
              <w:t>9</w:t>
            </w:r>
            <w:r>
              <w:rPr>
                <w:rFonts w:hint="eastAsia" w:ascii="宋体" w:hAnsi="宋体" w:cs="宋体"/>
                <w:color w:val="auto"/>
                <w:sz w:val="24"/>
                <w:highlight w:val="none"/>
                <w:lang w:bidi="ar"/>
              </w:rPr>
              <w:t>分；</w:t>
            </w:r>
          </w:p>
          <w:p>
            <w:pPr>
              <w:jc w:val="left"/>
              <w:rPr>
                <w:rFonts w:hint="eastAsia" w:ascii="宋体" w:hAnsi="宋体" w:cs="宋体"/>
                <w:color w:val="auto"/>
                <w:sz w:val="24"/>
                <w:highlight w:val="none"/>
              </w:rPr>
            </w:pPr>
            <w:r>
              <w:rPr>
                <w:rFonts w:hint="eastAsia" w:ascii="宋体" w:hAnsi="宋体" w:cs="宋体"/>
                <w:color w:val="auto"/>
                <w:sz w:val="24"/>
                <w:highlight w:val="none"/>
                <w:lang w:bidi="ar"/>
              </w:rPr>
              <w:t>C.质量管理体系与措施不合理</w:t>
            </w:r>
            <w:r>
              <w:rPr>
                <w:rFonts w:hint="eastAsia" w:ascii="宋体" w:hAnsi="宋体" w:cs="宋体"/>
                <w:color w:val="auto"/>
                <w:sz w:val="24"/>
                <w:highlight w:val="none"/>
                <w:lang w:eastAsia="zh-CN" w:bidi="ar"/>
              </w:rPr>
              <w:t>的得</w:t>
            </w:r>
            <w:r>
              <w:rPr>
                <w:rFonts w:hint="eastAsia" w:ascii="宋体" w:hAnsi="宋体" w:cs="宋体"/>
                <w:color w:val="auto"/>
                <w:sz w:val="24"/>
                <w:highlight w:val="none"/>
                <w:lang w:val="en-US" w:eastAsia="zh-CN" w:bidi="ar"/>
              </w:rPr>
              <w:t>5</w:t>
            </w:r>
            <w:r>
              <w:rPr>
                <w:rFonts w:hint="eastAsia" w:ascii="宋体" w:hAnsi="宋体" w:cs="宋体"/>
                <w:color w:val="auto"/>
                <w:sz w:val="24"/>
                <w:highlight w:val="none"/>
                <w:lang w:bidi="ar"/>
              </w:rPr>
              <w:t>分；</w:t>
            </w:r>
          </w:p>
          <w:p>
            <w:pPr>
              <w:pageBreakBefore w:val="0"/>
              <w:kinsoku/>
              <w:topLinePunct w:val="0"/>
              <w:autoSpaceDE w:val="0"/>
              <w:autoSpaceDN w:val="0"/>
              <w:bidi w:val="0"/>
              <w:adjustRightInd w:val="0"/>
              <w:spacing w:line="360" w:lineRule="auto"/>
              <w:jc w:val="both"/>
              <w:rPr>
                <w:rFonts w:hint="eastAsia" w:ascii="宋体" w:hAnsi="宋体" w:eastAsia="宋体" w:cs="宋体"/>
                <w:color w:val="000000"/>
                <w:sz w:val="24"/>
                <w:szCs w:val="24"/>
                <w:lang w:val="en-US" w:eastAsia="zh-CN"/>
              </w:rPr>
            </w:pPr>
            <w:r>
              <w:rPr>
                <w:rFonts w:hint="eastAsia" w:ascii="宋体" w:hAnsi="宋体" w:cs="宋体"/>
                <w:color w:val="auto"/>
                <w:sz w:val="24"/>
                <w:highlight w:val="none"/>
                <w:lang w:bidi="ar"/>
              </w:rPr>
              <w:t>D.不提供者得0分。</w:t>
            </w:r>
          </w:p>
        </w:tc>
      </w:tr>
      <w:tr>
        <w:tblPrEx>
          <w:tblCellMar>
            <w:top w:w="0" w:type="dxa"/>
            <w:left w:w="108" w:type="dxa"/>
            <w:bottom w:w="0" w:type="dxa"/>
            <w:right w:w="108" w:type="dxa"/>
          </w:tblCellMar>
        </w:tblPrEx>
        <w:trPr>
          <w:trHeight w:val="383" w:hRule="atLeast"/>
          <w:jc w:val="center"/>
        </w:trPr>
        <w:tc>
          <w:tcPr>
            <w:tcW w:w="568" w:type="dxa"/>
            <w:vMerge w:val="continue"/>
            <w:tcBorders>
              <w:left w:val="single" w:color="000000" w:sz="4" w:space="0"/>
              <w:right w:val="single" w:color="000000" w:sz="4" w:space="0"/>
            </w:tcBorders>
            <w:vAlign w:val="center"/>
          </w:tcPr>
          <w:p>
            <w:pPr>
              <w:pageBreakBefore w:val="0"/>
              <w:widowControl/>
              <w:kinsoku/>
              <w:topLinePunct w:val="0"/>
              <w:bidi w:val="0"/>
              <w:spacing w:line="360" w:lineRule="auto"/>
              <w:jc w:val="left"/>
              <w:rPr>
                <w:rFonts w:hint="eastAsia" w:ascii="宋体" w:hAnsi="宋体" w:eastAsia="宋体" w:cs="宋体"/>
                <w:color w:val="000000"/>
                <w:kern w:val="0"/>
                <w:sz w:val="24"/>
                <w:szCs w:val="24"/>
                <w:highlight w:val="none"/>
              </w:rPr>
            </w:pPr>
          </w:p>
        </w:tc>
        <w:tc>
          <w:tcPr>
            <w:tcW w:w="1650" w:type="dxa"/>
            <w:vMerge w:val="continue"/>
            <w:tcBorders>
              <w:left w:val="nil"/>
              <w:right w:val="single" w:color="000000" w:sz="4" w:space="0"/>
            </w:tcBorders>
            <w:vAlign w:val="center"/>
          </w:tcPr>
          <w:p>
            <w:pPr>
              <w:pageBreakBefore w:val="0"/>
              <w:widowControl/>
              <w:kinsoku/>
              <w:topLinePunct w:val="0"/>
              <w:bidi w:val="0"/>
              <w:spacing w:line="360" w:lineRule="auto"/>
              <w:jc w:val="left"/>
              <w:rPr>
                <w:rFonts w:hint="eastAsia" w:ascii="宋体" w:hAnsi="宋体" w:eastAsia="宋体" w:cs="宋体"/>
                <w:color w:val="000000"/>
                <w:kern w:val="0"/>
                <w:sz w:val="24"/>
                <w:szCs w:val="24"/>
                <w:highlight w:val="none"/>
              </w:rPr>
            </w:pPr>
          </w:p>
        </w:tc>
        <w:tc>
          <w:tcPr>
            <w:tcW w:w="1233" w:type="dxa"/>
            <w:tcBorders>
              <w:top w:val="single" w:color="000000" w:sz="4" w:space="0"/>
              <w:left w:val="nil"/>
              <w:bottom w:val="single" w:color="000000" w:sz="4" w:space="0"/>
              <w:right w:val="single" w:color="000000" w:sz="4" w:space="0"/>
            </w:tcBorders>
            <w:vAlign w:val="center"/>
          </w:tcPr>
          <w:p>
            <w:pPr>
              <w:pageBreakBefore w:val="0"/>
              <w:kinsoku/>
              <w:topLinePunct w:val="0"/>
              <w:autoSpaceDE w:val="0"/>
              <w:autoSpaceDN w:val="0"/>
              <w:bidi w:val="0"/>
              <w:adjustRightInd w:val="0"/>
              <w:spacing w:line="360" w:lineRule="auto"/>
              <w:jc w:val="both"/>
              <w:rPr>
                <w:rFonts w:hint="default" w:ascii="宋体" w:hAnsi="宋体" w:eastAsia="宋体" w:cs="宋体"/>
                <w:color w:val="000000"/>
                <w:sz w:val="24"/>
                <w:szCs w:val="24"/>
                <w:lang w:val="en-US" w:eastAsia="zh-CN"/>
              </w:rPr>
            </w:pPr>
            <w:r>
              <w:rPr>
                <w:rFonts w:cs="宋体"/>
                <w:color w:val="auto"/>
                <w:highlight w:val="none"/>
                <w:lang w:bidi="ar"/>
              </w:rPr>
              <w:t>安全管理体系与措施</w:t>
            </w:r>
            <w:r>
              <w:rPr>
                <w:rFonts w:hint="eastAsia" w:cs="宋体"/>
                <w:color w:val="auto"/>
                <w:highlight w:val="none"/>
                <w:lang w:eastAsia="zh-CN" w:bidi="ar"/>
              </w:rPr>
              <w:t>（</w:t>
            </w:r>
            <w:r>
              <w:rPr>
                <w:rFonts w:hint="eastAsia" w:cs="宋体"/>
                <w:color w:val="auto"/>
                <w:highlight w:val="none"/>
                <w:lang w:val="en-US" w:eastAsia="zh-CN" w:bidi="ar"/>
              </w:rPr>
              <w:t>12分）</w:t>
            </w:r>
          </w:p>
        </w:tc>
        <w:tc>
          <w:tcPr>
            <w:tcW w:w="5607" w:type="dxa"/>
            <w:tcBorders>
              <w:top w:val="single" w:color="000000" w:sz="4" w:space="0"/>
              <w:left w:val="nil"/>
              <w:bottom w:val="single" w:color="000000" w:sz="4" w:space="0"/>
              <w:right w:val="single" w:color="000000" w:sz="4" w:space="0"/>
            </w:tcBorders>
            <w:vAlign w:val="center"/>
          </w:tcPr>
          <w:p>
            <w:pPr>
              <w:jc w:val="left"/>
              <w:rPr>
                <w:rFonts w:hint="eastAsia" w:ascii="宋体" w:hAnsi="宋体" w:cs="宋体"/>
                <w:color w:val="auto"/>
                <w:sz w:val="24"/>
                <w:highlight w:val="none"/>
              </w:rPr>
            </w:pPr>
            <w:r>
              <w:rPr>
                <w:rFonts w:hint="eastAsia" w:ascii="宋体" w:hAnsi="宋体" w:cs="宋体"/>
                <w:color w:val="auto"/>
                <w:sz w:val="24"/>
                <w:highlight w:val="none"/>
                <w:lang w:bidi="ar"/>
              </w:rPr>
              <w:t>A. 建立安全生产保障体系，安全管理体系与措施科学合理，具体措施合理、适用性强，思路清晰，内容全面，考虑问题周全，实施过程务实，各项指标均能完成</w:t>
            </w:r>
            <w:r>
              <w:rPr>
                <w:rFonts w:hint="eastAsia" w:ascii="宋体" w:hAnsi="宋体" w:cs="宋体"/>
                <w:color w:val="auto"/>
                <w:sz w:val="24"/>
                <w:highlight w:val="none"/>
                <w:lang w:eastAsia="zh-CN" w:bidi="ar"/>
              </w:rPr>
              <w:t>的得</w:t>
            </w:r>
            <w:r>
              <w:rPr>
                <w:rFonts w:hint="eastAsia" w:ascii="宋体" w:hAnsi="宋体" w:cs="宋体"/>
                <w:color w:val="auto"/>
                <w:sz w:val="24"/>
                <w:highlight w:val="none"/>
                <w:lang w:val="en-US" w:eastAsia="zh-CN" w:bidi="ar"/>
              </w:rPr>
              <w:t>12</w:t>
            </w:r>
            <w:r>
              <w:rPr>
                <w:rFonts w:hint="eastAsia" w:ascii="宋体" w:hAnsi="宋体" w:cs="宋体"/>
                <w:color w:val="auto"/>
                <w:sz w:val="24"/>
                <w:highlight w:val="none"/>
                <w:lang w:bidi="ar"/>
              </w:rPr>
              <w:t>分；</w:t>
            </w:r>
          </w:p>
          <w:p>
            <w:pPr>
              <w:jc w:val="left"/>
              <w:rPr>
                <w:rFonts w:hint="eastAsia" w:ascii="宋体" w:hAnsi="宋体" w:cs="宋体"/>
                <w:color w:val="auto"/>
                <w:sz w:val="24"/>
                <w:highlight w:val="none"/>
              </w:rPr>
            </w:pPr>
            <w:r>
              <w:rPr>
                <w:rFonts w:hint="eastAsia" w:ascii="宋体" w:hAnsi="宋体" w:cs="宋体"/>
                <w:color w:val="auto"/>
                <w:sz w:val="24"/>
                <w:highlight w:val="none"/>
                <w:lang w:bidi="ar"/>
              </w:rPr>
              <w:t>B.安全管理体系与措施基本能够满足需要，操作性不强</w:t>
            </w:r>
            <w:r>
              <w:rPr>
                <w:rFonts w:hint="eastAsia" w:ascii="宋体" w:hAnsi="宋体" w:cs="宋体"/>
                <w:color w:val="auto"/>
                <w:sz w:val="24"/>
                <w:highlight w:val="none"/>
                <w:lang w:eastAsia="zh-CN" w:bidi="ar"/>
              </w:rPr>
              <w:t>的得</w:t>
            </w:r>
            <w:r>
              <w:rPr>
                <w:rFonts w:hint="eastAsia" w:ascii="宋体" w:hAnsi="宋体" w:cs="宋体"/>
                <w:color w:val="auto"/>
                <w:sz w:val="24"/>
                <w:highlight w:val="none"/>
                <w:lang w:val="en-US" w:eastAsia="zh-CN" w:bidi="ar"/>
              </w:rPr>
              <w:t>8</w:t>
            </w:r>
            <w:r>
              <w:rPr>
                <w:rFonts w:hint="eastAsia" w:ascii="宋体" w:hAnsi="宋体" w:cs="宋体"/>
                <w:color w:val="auto"/>
                <w:sz w:val="24"/>
                <w:highlight w:val="none"/>
                <w:lang w:bidi="ar"/>
              </w:rPr>
              <w:t>分；</w:t>
            </w:r>
          </w:p>
          <w:p>
            <w:pPr>
              <w:jc w:val="left"/>
              <w:rPr>
                <w:rFonts w:hint="eastAsia" w:ascii="宋体" w:hAnsi="宋体" w:cs="宋体"/>
                <w:color w:val="auto"/>
                <w:sz w:val="24"/>
                <w:highlight w:val="none"/>
              </w:rPr>
            </w:pPr>
            <w:r>
              <w:rPr>
                <w:rFonts w:hint="eastAsia" w:ascii="宋体" w:hAnsi="宋体" w:cs="宋体"/>
                <w:color w:val="auto"/>
                <w:sz w:val="24"/>
                <w:highlight w:val="none"/>
                <w:lang w:bidi="ar"/>
              </w:rPr>
              <w:t>C.安全管理体系与措施不合理</w:t>
            </w:r>
            <w:r>
              <w:rPr>
                <w:rFonts w:hint="eastAsia" w:ascii="宋体" w:hAnsi="宋体" w:cs="宋体"/>
                <w:color w:val="auto"/>
                <w:sz w:val="24"/>
                <w:highlight w:val="none"/>
                <w:lang w:eastAsia="zh-CN" w:bidi="ar"/>
              </w:rPr>
              <w:t>的得</w:t>
            </w:r>
            <w:r>
              <w:rPr>
                <w:rFonts w:hint="eastAsia" w:ascii="宋体" w:hAnsi="宋体" w:cs="宋体"/>
                <w:color w:val="auto"/>
                <w:sz w:val="24"/>
                <w:highlight w:val="none"/>
                <w:lang w:val="en-US" w:eastAsia="zh-CN" w:bidi="ar"/>
              </w:rPr>
              <w:t>4</w:t>
            </w:r>
            <w:r>
              <w:rPr>
                <w:rFonts w:hint="eastAsia" w:ascii="宋体" w:hAnsi="宋体" w:cs="宋体"/>
                <w:color w:val="auto"/>
                <w:sz w:val="24"/>
                <w:highlight w:val="none"/>
                <w:lang w:bidi="ar"/>
              </w:rPr>
              <w:t>分；</w:t>
            </w:r>
          </w:p>
          <w:p>
            <w:pPr>
              <w:pageBreakBefore w:val="0"/>
              <w:kinsoku/>
              <w:topLinePunct w:val="0"/>
              <w:autoSpaceDE w:val="0"/>
              <w:autoSpaceDN w:val="0"/>
              <w:bidi w:val="0"/>
              <w:adjustRightInd w:val="0"/>
              <w:spacing w:line="360" w:lineRule="auto"/>
              <w:jc w:val="both"/>
              <w:rPr>
                <w:rFonts w:hint="eastAsia" w:ascii="宋体" w:hAnsi="宋体" w:eastAsia="宋体" w:cs="宋体"/>
                <w:color w:val="000000"/>
                <w:sz w:val="24"/>
                <w:szCs w:val="24"/>
                <w:lang w:val="en-US" w:eastAsia="zh-CN"/>
              </w:rPr>
            </w:pPr>
            <w:r>
              <w:rPr>
                <w:rFonts w:hint="eastAsia" w:ascii="宋体" w:hAnsi="宋体" w:cs="宋体"/>
                <w:color w:val="auto"/>
                <w:sz w:val="24"/>
                <w:highlight w:val="none"/>
                <w:lang w:bidi="ar"/>
              </w:rPr>
              <w:t>D.不提供者得0分。</w:t>
            </w:r>
          </w:p>
        </w:tc>
      </w:tr>
      <w:tr>
        <w:tblPrEx>
          <w:tblCellMar>
            <w:top w:w="0" w:type="dxa"/>
            <w:left w:w="108" w:type="dxa"/>
            <w:bottom w:w="0" w:type="dxa"/>
            <w:right w:w="108" w:type="dxa"/>
          </w:tblCellMar>
        </w:tblPrEx>
        <w:trPr>
          <w:trHeight w:val="383" w:hRule="atLeast"/>
          <w:jc w:val="center"/>
        </w:trPr>
        <w:tc>
          <w:tcPr>
            <w:tcW w:w="568" w:type="dxa"/>
            <w:vMerge w:val="continue"/>
            <w:tcBorders>
              <w:left w:val="single" w:color="000000" w:sz="4" w:space="0"/>
              <w:right w:val="single" w:color="000000" w:sz="4" w:space="0"/>
            </w:tcBorders>
            <w:vAlign w:val="center"/>
          </w:tcPr>
          <w:p>
            <w:pPr>
              <w:pageBreakBefore w:val="0"/>
              <w:widowControl/>
              <w:kinsoku/>
              <w:topLinePunct w:val="0"/>
              <w:bidi w:val="0"/>
              <w:spacing w:line="360" w:lineRule="auto"/>
              <w:jc w:val="left"/>
              <w:rPr>
                <w:rFonts w:hint="eastAsia" w:ascii="宋体" w:hAnsi="宋体" w:eastAsia="宋体" w:cs="宋体"/>
                <w:color w:val="000000"/>
                <w:kern w:val="0"/>
                <w:sz w:val="24"/>
                <w:szCs w:val="24"/>
                <w:highlight w:val="none"/>
              </w:rPr>
            </w:pPr>
          </w:p>
        </w:tc>
        <w:tc>
          <w:tcPr>
            <w:tcW w:w="1650" w:type="dxa"/>
            <w:vMerge w:val="continue"/>
            <w:tcBorders>
              <w:left w:val="nil"/>
              <w:right w:val="single" w:color="000000" w:sz="4" w:space="0"/>
            </w:tcBorders>
            <w:vAlign w:val="center"/>
          </w:tcPr>
          <w:p>
            <w:pPr>
              <w:pageBreakBefore w:val="0"/>
              <w:widowControl/>
              <w:kinsoku/>
              <w:topLinePunct w:val="0"/>
              <w:bidi w:val="0"/>
              <w:spacing w:line="360" w:lineRule="auto"/>
              <w:jc w:val="left"/>
              <w:rPr>
                <w:rFonts w:hint="eastAsia" w:ascii="宋体" w:hAnsi="宋体" w:eastAsia="宋体" w:cs="宋体"/>
                <w:color w:val="000000"/>
                <w:kern w:val="0"/>
                <w:sz w:val="24"/>
                <w:szCs w:val="24"/>
                <w:highlight w:val="none"/>
              </w:rPr>
            </w:pPr>
          </w:p>
        </w:tc>
        <w:tc>
          <w:tcPr>
            <w:tcW w:w="1233" w:type="dxa"/>
            <w:tcBorders>
              <w:top w:val="single" w:color="000000" w:sz="4" w:space="0"/>
              <w:left w:val="nil"/>
              <w:bottom w:val="single" w:color="000000" w:sz="4" w:space="0"/>
              <w:right w:val="single" w:color="000000" w:sz="4" w:space="0"/>
            </w:tcBorders>
            <w:vAlign w:val="center"/>
          </w:tcPr>
          <w:p>
            <w:pPr>
              <w:pageBreakBefore w:val="0"/>
              <w:kinsoku/>
              <w:topLinePunct w:val="0"/>
              <w:autoSpaceDE w:val="0"/>
              <w:autoSpaceDN w:val="0"/>
              <w:bidi w:val="0"/>
              <w:adjustRightInd w:val="0"/>
              <w:spacing w:line="360" w:lineRule="auto"/>
              <w:jc w:val="both"/>
              <w:rPr>
                <w:rFonts w:hint="default" w:ascii="宋体" w:hAnsi="宋体" w:eastAsia="宋体" w:cs="宋体"/>
                <w:color w:val="000000"/>
                <w:sz w:val="24"/>
                <w:szCs w:val="24"/>
                <w:lang w:val="en-US" w:eastAsia="zh-CN"/>
              </w:rPr>
            </w:pPr>
            <w:r>
              <w:rPr>
                <w:rFonts w:cs="宋体"/>
                <w:color w:val="auto"/>
                <w:highlight w:val="none"/>
                <w:lang w:bidi="ar"/>
              </w:rPr>
              <w:t>环保管理体系与措施</w:t>
            </w:r>
            <w:r>
              <w:rPr>
                <w:rFonts w:hint="eastAsia" w:cs="宋体"/>
                <w:color w:val="auto"/>
                <w:highlight w:val="none"/>
                <w:lang w:eastAsia="zh-CN" w:bidi="ar"/>
              </w:rPr>
              <w:t>（</w:t>
            </w:r>
            <w:r>
              <w:rPr>
                <w:rFonts w:hint="eastAsia" w:cs="宋体"/>
                <w:color w:val="auto"/>
                <w:highlight w:val="none"/>
                <w:lang w:val="en-US" w:eastAsia="zh-CN" w:bidi="ar"/>
              </w:rPr>
              <w:t>10分）</w:t>
            </w:r>
          </w:p>
        </w:tc>
        <w:tc>
          <w:tcPr>
            <w:tcW w:w="5607" w:type="dxa"/>
            <w:tcBorders>
              <w:top w:val="single" w:color="000000" w:sz="4" w:space="0"/>
              <w:left w:val="nil"/>
              <w:bottom w:val="single" w:color="000000" w:sz="4" w:space="0"/>
              <w:right w:val="single" w:color="000000" w:sz="4" w:space="0"/>
            </w:tcBorders>
            <w:vAlign w:val="center"/>
          </w:tcPr>
          <w:p>
            <w:pPr>
              <w:jc w:val="left"/>
              <w:rPr>
                <w:rFonts w:hint="eastAsia" w:ascii="宋体" w:hAnsi="宋体" w:cs="宋体"/>
                <w:color w:val="auto"/>
                <w:sz w:val="24"/>
                <w:highlight w:val="none"/>
              </w:rPr>
            </w:pPr>
            <w:r>
              <w:rPr>
                <w:rFonts w:hint="eastAsia" w:ascii="宋体" w:hAnsi="宋体" w:cs="宋体"/>
                <w:color w:val="auto"/>
                <w:sz w:val="24"/>
                <w:highlight w:val="none"/>
                <w:lang w:bidi="ar"/>
              </w:rPr>
              <w:t>A.环保管理体系与措施科学合理，适用性强，思路清晰，内容全面，考虑问题周全，实施过程务实</w:t>
            </w:r>
            <w:r>
              <w:rPr>
                <w:rFonts w:hint="eastAsia" w:ascii="宋体" w:hAnsi="宋体" w:cs="宋体"/>
                <w:color w:val="auto"/>
                <w:sz w:val="24"/>
                <w:highlight w:val="none"/>
                <w:lang w:eastAsia="zh-CN" w:bidi="ar"/>
              </w:rPr>
              <w:t>的得</w:t>
            </w:r>
            <w:r>
              <w:rPr>
                <w:rFonts w:hint="eastAsia" w:ascii="宋体" w:hAnsi="宋体" w:cs="宋体"/>
                <w:color w:val="auto"/>
                <w:sz w:val="24"/>
                <w:highlight w:val="none"/>
                <w:lang w:val="en-US" w:eastAsia="zh-CN" w:bidi="ar"/>
              </w:rPr>
              <w:t>10</w:t>
            </w:r>
            <w:r>
              <w:rPr>
                <w:rFonts w:hint="eastAsia" w:ascii="宋体" w:hAnsi="宋体" w:cs="宋体"/>
                <w:color w:val="auto"/>
                <w:sz w:val="24"/>
                <w:highlight w:val="none"/>
                <w:lang w:bidi="ar"/>
              </w:rPr>
              <w:t>分；</w:t>
            </w:r>
          </w:p>
          <w:p>
            <w:pPr>
              <w:jc w:val="left"/>
              <w:rPr>
                <w:rFonts w:hint="eastAsia" w:ascii="宋体" w:hAnsi="宋体" w:cs="宋体"/>
                <w:color w:val="auto"/>
                <w:sz w:val="24"/>
                <w:highlight w:val="none"/>
              </w:rPr>
            </w:pPr>
            <w:r>
              <w:rPr>
                <w:rFonts w:hint="eastAsia" w:ascii="宋体" w:hAnsi="宋体" w:cs="宋体"/>
                <w:color w:val="auto"/>
                <w:sz w:val="24"/>
                <w:highlight w:val="none"/>
                <w:lang w:bidi="ar"/>
              </w:rPr>
              <w:t>B.环保管理体系与措施基本能够满足需要，操作性不强</w:t>
            </w:r>
            <w:r>
              <w:rPr>
                <w:rFonts w:hint="eastAsia" w:ascii="宋体" w:hAnsi="宋体" w:cs="宋体"/>
                <w:color w:val="auto"/>
                <w:sz w:val="24"/>
                <w:highlight w:val="none"/>
                <w:lang w:eastAsia="zh-CN" w:bidi="ar"/>
              </w:rPr>
              <w:t>的得</w:t>
            </w:r>
            <w:r>
              <w:rPr>
                <w:rFonts w:hint="eastAsia" w:ascii="宋体" w:hAnsi="宋体" w:cs="宋体"/>
                <w:color w:val="auto"/>
                <w:sz w:val="24"/>
                <w:highlight w:val="none"/>
                <w:lang w:val="en-US" w:eastAsia="zh-CN" w:bidi="ar"/>
              </w:rPr>
              <w:t>7</w:t>
            </w:r>
            <w:r>
              <w:rPr>
                <w:rFonts w:hint="eastAsia" w:ascii="宋体" w:hAnsi="宋体" w:cs="宋体"/>
                <w:color w:val="auto"/>
                <w:sz w:val="24"/>
                <w:highlight w:val="none"/>
                <w:lang w:bidi="ar"/>
              </w:rPr>
              <w:t>分；</w:t>
            </w:r>
          </w:p>
          <w:p>
            <w:pPr>
              <w:jc w:val="left"/>
              <w:rPr>
                <w:rFonts w:hint="eastAsia" w:ascii="宋体" w:hAnsi="宋体" w:cs="宋体"/>
                <w:color w:val="auto"/>
                <w:sz w:val="24"/>
                <w:highlight w:val="none"/>
              </w:rPr>
            </w:pPr>
            <w:r>
              <w:rPr>
                <w:rFonts w:hint="eastAsia" w:ascii="宋体" w:hAnsi="宋体" w:cs="宋体"/>
                <w:color w:val="auto"/>
                <w:sz w:val="24"/>
                <w:highlight w:val="none"/>
                <w:lang w:bidi="ar"/>
              </w:rPr>
              <w:t>C.环保管理体系与措施不合理</w:t>
            </w:r>
            <w:r>
              <w:rPr>
                <w:rFonts w:hint="eastAsia" w:ascii="宋体" w:hAnsi="宋体" w:cs="宋体"/>
                <w:color w:val="auto"/>
                <w:sz w:val="24"/>
                <w:highlight w:val="none"/>
                <w:lang w:eastAsia="zh-CN" w:bidi="ar"/>
              </w:rPr>
              <w:t>的得</w:t>
            </w:r>
            <w:r>
              <w:rPr>
                <w:rFonts w:hint="eastAsia" w:ascii="宋体" w:hAnsi="宋体" w:cs="宋体"/>
                <w:color w:val="auto"/>
                <w:sz w:val="24"/>
                <w:highlight w:val="none"/>
                <w:lang w:val="en-US" w:eastAsia="zh-CN" w:bidi="ar"/>
              </w:rPr>
              <w:t>4</w:t>
            </w:r>
            <w:r>
              <w:rPr>
                <w:rFonts w:hint="eastAsia" w:ascii="宋体" w:hAnsi="宋体" w:cs="宋体"/>
                <w:color w:val="auto"/>
                <w:sz w:val="24"/>
                <w:highlight w:val="none"/>
                <w:lang w:bidi="ar"/>
              </w:rPr>
              <w:t>分；</w:t>
            </w:r>
          </w:p>
          <w:p>
            <w:pPr>
              <w:pageBreakBefore w:val="0"/>
              <w:kinsoku/>
              <w:topLinePunct w:val="0"/>
              <w:autoSpaceDE w:val="0"/>
              <w:autoSpaceDN w:val="0"/>
              <w:bidi w:val="0"/>
              <w:adjustRightInd w:val="0"/>
              <w:spacing w:line="360" w:lineRule="auto"/>
              <w:jc w:val="both"/>
              <w:rPr>
                <w:rFonts w:hint="eastAsia" w:ascii="宋体" w:hAnsi="宋体" w:eastAsia="宋体" w:cs="宋体"/>
                <w:color w:val="000000"/>
                <w:sz w:val="24"/>
                <w:szCs w:val="24"/>
                <w:lang w:val="en-US" w:eastAsia="zh-CN"/>
              </w:rPr>
            </w:pPr>
            <w:r>
              <w:rPr>
                <w:rFonts w:hint="eastAsia" w:ascii="宋体" w:hAnsi="宋体" w:cs="宋体"/>
                <w:color w:val="auto"/>
                <w:sz w:val="24"/>
                <w:highlight w:val="none"/>
                <w:lang w:bidi="ar"/>
              </w:rPr>
              <w:t>D.不提供者得0分。</w:t>
            </w:r>
          </w:p>
        </w:tc>
      </w:tr>
      <w:tr>
        <w:tblPrEx>
          <w:tblCellMar>
            <w:top w:w="0" w:type="dxa"/>
            <w:left w:w="108" w:type="dxa"/>
            <w:bottom w:w="0" w:type="dxa"/>
            <w:right w:w="108" w:type="dxa"/>
          </w:tblCellMar>
        </w:tblPrEx>
        <w:trPr>
          <w:trHeight w:val="2577" w:hRule="atLeast"/>
          <w:jc w:val="center"/>
        </w:trPr>
        <w:tc>
          <w:tcPr>
            <w:tcW w:w="568" w:type="dxa"/>
            <w:vMerge w:val="continue"/>
            <w:tcBorders>
              <w:left w:val="single" w:color="000000" w:sz="4" w:space="0"/>
              <w:right w:val="single" w:color="000000" w:sz="4" w:space="0"/>
            </w:tcBorders>
            <w:vAlign w:val="center"/>
          </w:tcPr>
          <w:p>
            <w:pPr>
              <w:pageBreakBefore w:val="0"/>
              <w:widowControl/>
              <w:kinsoku/>
              <w:topLinePunct w:val="0"/>
              <w:bidi w:val="0"/>
              <w:spacing w:line="360" w:lineRule="auto"/>
              <w:jc w:val="left"/>
              <w:rPr>
                <w:rFonts w:hint="eastAsia" w:ascii="宋体" w:hAnsi="宋体" w:eastAsia="宋体" w:cs="宋体"/>
                <w:color w:val="000000"/>
                <w:kern w:val="0"/>
                <w:sz w:val="24"/>
                <w:szCs w:val="24"/>
                <w:highlight w:val="none"/>
              </w:rPr>
            </w:pPr>
          </w:p>
        </w:tc>
        <w:tc>
          <w:tcPr>
            <w:tcW w:w="1650" w:type="dxa"/>
            <w:vMerge w:val="continue"/>
            <w:tcBorders>
              <w:left w:val="nil"/>
              <w:right w:val="single" w:color="000000" w:sz="4" w:space="0"/>
            </w:tcBorders>
            <w:vAlign w:val="center"/>
          </w:tcPr>
          <w:p>
            <w:pPr>
              <w:pageBreakBefore w:val="0"/>
              <w:widowControl/>
              <w:kinsoku/>
              <w:topLinePunct w:val="0"/>
              <w:bidi w:val="0"/>
              <w:spacing w:line="360" w:lineRule="auto"/>
              <w:jc w:val="left"/>
              <w:rPr>
                <w:rFonts w:hint="eastAsia" w:ascii="宋体" w:hAnsi="宋体" w:eastAsia="宋体" w:cs="宋体"/>
                <w:color w:val="000000"/>
                <w:kern w:val="0"/>
                <w:sz w:val="24"/>
                <w:szCs w:val="24"/>
                <w:highlight w:val="none"/>
              </w:rPr>
            </w:pPr>
          </w:p>
        </w:tc>
        <w:tc>
          <w:tcPr>
            <w:tcW w:w="1233" w:type="dxa"/>
            <w:tcBorders>
              <w:top w:val="single" w:color="000000" w:sz="4" w:space="0"/>
              <w:left w:val="nil"/>
              <w:right w:val="single" w:color="000000" w:sz="4" w:space="0"/>
            </w:tcBorders>
            <w:vAlign w:val="center"/>
          </w:tcPr>
          <w:p>
            <w:pPr>
              <w:pageBreakBefore w:val="0"/>
              <w:kinsoku/>
              <w:topLinePunct w:val="0"/>
              <w:autoSpaceDE w:val="0"/>
              <w:autoSpaceDN w:val="0"/>
              <w:bidi w:val="0"/>
              <w:adjustRightInd w:val="0"/>
              <w:spacing w:line="360" w:lineRule="auto"/>
              <w:jc w:val="both"/>
              <w:rPr>
                <w:rFonts w:hint="default" w:ascii="宋体" w:hAnsi="宋体" w:eastAsia="宋体" w:cs="宋体"/>
                <w:color w:val="000000"/>
                <w:sz w:val="24"/>
                <w:szCs w:val="24"/>
                <w:lang w:val="en-US" w:eastAsia="zh-CN"/>
              </w:rPr>
            </w:pPr>
            <w:r>
              <w:rPr>
                <w:rFonts w:hint="eastAsia" w:cs="宋体"/>
                <w:color w:val="auto"/>
                <w:highlight w:val="none"/>
                <w:lang w:bidi="ar"/>
              </w:rPr>
              <w:t>项目</w:t>
            </w:r>
            <w:r>
              <w:rPr>
                <w:rFonts w:cs="宋体"/>
                <w:color w:val="auto"/>
                <w:highlight w:val="none"/>
                <w:lang w:bidi="ar"/>
              </w:rPr>
              <w:t>进度计划与措施</w:t>
            </w:r>
            <w:r>
              <w:rPr>
                <w:rFonts w:hint="eastAsia" w:cs="宋体"/>
                <w:color w:val="auto"/>
                <w:highlight w:val="none"/>
                <w:lang w:eastAsia="zh-CN" w:bidi="ar"/>
              </w:rPr>
              <w:t>（</w:t>
            </w:r>
            <w:r>
              <w:rPr>
                <w:rFonts w:hint="eastAsia" w:cs="宋体"/>
                <w:color w:val="auto"/>
                <w:highlight w:val="none"/>
                <w:lang w:val="en-US" w:eastAsia="zh-CN" w:bidi="ar"/>
              </w:rPr>
              <w:t>10分）</w:t>
            </w:r>
          </w:p>
        </w:tc>
        <w:tc>
          <w:tcPr>
            <w:tcW w:w="5607" w:type="dxa"/>
            <w:tcBorders>
              <w:top w:val="single" w:color="000000" w:sz="4" w:space="0"/>
              <w:left w:val="nil"/>
              <w:bottom w:val="single" w:color="000000" w:sz="4" w:space="0"/>
              <w:right w:val="single" w:color="000000" w:sz="4" w:space="0"/>
            </w:tcBorders>
            <w:vAlign w:val="center"/>
          </w:tcPr>
          <w:p>
            <w:pPr>
              <w:jc w:val="left"/>
              <w:rPr>
                <w:rFonts w:hint="eastAsia" w:ascii="宋体" w:hAnsi="宋体" w:cs="宋体"/>
                <w:color w:val="auto"/>
                <w:sz w:val="24"/>
                <w:highlight w:val="none"/>
              </w:rPr>
            </w:pPr>
            <w:r>
              <w:rPr>
                <w:rFonts w:hint="eastAsia" w:ascii="宋体" w:hAnsi="宋体" w:cs="宋体"/>
                <w:color w:val="auto"/>
                <w:sz w:val="24"/>
                <w:highlight w:val="none"/>
                <w:lang w:bidi="ar"/>
              </w:rPr>
              <w:t>A. 项目进度线路清晰、准确、完整，进度计划与措施科学合理，适用性强</w:t>
            </w:r>
            <w:r>
              <w:rPr>
                <w:rFonts w:hint="eastAsia" w:ascii="宋体" w:hAnsi="宋体" w:cs="宋体"/>
                <w:color w:val="auto"/>
                <w:sz w:val="24"/>
                <w:highlight w:val="none"/>
                <w:lang w:eastAsia="zh-CN" w:bidi="ar"/>
              </w:rPr>
              <w:t>的得</w:t>
            </w:r>
            <w:r>
              <w:rPr>
                <w:rFonts w:hint="eastAsia" w:ascii="宋体" w:hAnsi="宋体" w:cs="宋体"/>
                <w:color w:val="auto"/>
                <w:sz w:val="24"/>
                <w:highlight w:val="none"/>
                <w:lang w:val="en-US" w:eastAsia="zh-CN" w:bidi="ar"/>
              </w:rPr>
              <w:t>10</w:t>
            </w:r>
            <w:r>
              <w:rPr>
                <w:rFonts w:hint="eastAsia" w:ascii="宋体" w:hAnsi="宋体" w:cs="宋体"/>
                <w:color w:val="auto"/>
                <w:sz w:val="24"/>
                <w:highlight w:val="none"/>
                <w:lang w:bidi="ar"/>
              </w:rPr>
              <w:t>分；</w:t>
            </w:r>
          </w:p>
          <w:p>
            <w:pPr>
              <w:jc w:val="left"/>
              <w:rPr>
                <w:rFonts w:hint="eastAsia" w:ascii="宋体" w:hAnsi="宋体" w:cs="宋体"/>
                <w:color w:val="auto"/>
                <w:sz w:val="24"/>
                <w:highlight w:val="none"/>
              </w:rPr>
            </w:pPr>
            <w:r>
              <w:rPr>
                <w:rFonts w:hint="eastAsia" w:ascii="宋体" w:hAnsi="宋体" w:cs="宋体"/>
                <w:color w:val="auto"/>
                <w:sz w:val="24"/>
                <w:highlight w:val="none"/>
                <w:lang w:bidi="ar"/>
              </w:rPr>
              <w:t>B.项目进度计划与措施基本能够满足需要，操作性不强</w:t>
            </w:r>
            <w:r>
              <w:rPr>
                <w:rFonts w:hint="eastAsia" w:ascii="宋体" w:hAnsi="宋体" w:cs="宋体"/>
                <w:color w:val="auto"/>
                <w:sz w:val="24"/>
                <w:highlight w:val="none"/>
                <w:lang w:val="en-US" w:eastAsia="zh-CN" w:bidi="ar"/>
              </w:rPr>
              <w:t>7</w:t>
            </w:r>
            <w:r>
              <w:rPr>
                <w:rFonts w:hint="eastAsia" w:ascii="宋体" w:hAnsi="宋体" w:cs="宋体"/>
                <w:color w:val="auto"/>
                <w:sz w:val="24"/>
                <w:highlight w:val="none"/>
                <w:lang w:bidi="ar"/>
              </w:rPr>
              <w:t>分；</w:t>
            </w:r>
          </w:p>
          <w:p>
            <w:pPr>
              <w:jc w:val="left"/>
              <w:rPr>
                <w:rFonts w:hint="eastAsia" w:ascii="宋体" w:hAnsi="宋体" w:cs="宋体"/>
                <w:color w:val="auto"/>
                <w:sz w:val="24"/>
                <w:highlight w:val="none"/>
              </w:rPr>
            </w:pPr>
            <w:r>
              <w:rPr>
                <w:rFonts w:hint="eastAsia" w:ascii="宋体" w:hAnsi="宋体" w:cs="宋体"/>
                <w:color w:val="auto"/>
                <w:sz w:val="24"/>
                <w:highlight w:val="none"/>
                <w:lang w:bidi="ar"/>
              </w:rPr>
              <w:t>C.项目进度计划与措施不合理</w:t>
            </w:r>
            <w:r>
              <w:rPr>
                <w:rFonts w:hint="eastAsia" w:ascii="宋体" w:hAnsi="宋体" w:cs="宋体"/>
                <w:color w:val="auto"/>
                <w:sz w:val="24"/>
                <w:highlight w:val="none"/>
                <w:lang w:val="en-US" w:eastAsia="zh-CN" w:bidi="ar"/>
              </w:rPr>
              <w:t>4</w:t>
            </w:r>
            <w:r>
              <w:rPr>
                <w:rFonts w:hint="eastAsia" w:ascii="宋体" w:hAnsi="宋体" w:cs="宋体"/>
                <w:color w:val="auto"/>
                <w:sz w:val="24"/>
                <w:highlight w:val="none"/>
                <w:lang w:bidi="ar"/>
              </w:rPr>
              <w:t>分；</w:t>
            </w:r>
          </w:p>
          <w:p>
            <w:pPr>
              <w:pageBreakBefore w:val="0"/>
              <w:kinsoku/>
              <w:topLinePunct w:val="0"/>
              <w:autoSpaceDE w:val="0"/>
              <w:autoSpaceDN w:val="0"/>
              <w:bidi w:val="0"/>
              <w:adjustRightInd w:val="0"/>
              <w:spacing w:line="360" w:lineRule="auto"/>
              <w:jc w:val="both"/>
              <w:rPr>
                <w:rFonts w:hint="eastAsia" w:ascii="宋体" w:hAnsi="宋体" w:eastAsia="宋体" w:cs="宋体"/>
                <w:color w:val="000000"/>
                <w:sz w:val="24"/>
                <w:szCs w:val="24"/>
                <w:lang w:val="en-US" w:eastAsia="zh-CN"/>
              </w:rPr>
            </w:pPr>
            <w:r>
              <w:rPr>
                <w:rFonts w:hint="eastAsia" w:ascii="宋体" w:hAnsi="宋体" w:cs="宋体"/>
                <w:color w:val="auto"/>
                <w:sz w:val="24"/>
                <w:highlight w:val="none"/>
                <w:lang w:bidi="ar"/>
              </w:rPr>
              <w:t>D.不提供者得0分。</w:t>
            </w:r>
          </w:p>
        </w:tc>
      </w:tr>
      <w:tr>
        <w:tblPrEx>
          <w:tblCellMar>
            <w:top w:w="0" w:type="dxa"/>
            <w:left w:w="108" w:type="dxa"/>
            <w:bottom w:w="0" w:type="dxa"/>
            <w:right w:w="108" w:type="dxa"/>
          </w:tblCellMar>
        </w:tblPrEx>
        <w:trPr>
          <w:trHeight w:val="1266" w:hRule="atLeast"/>
          <w:jc w:val="center"/>
        </w:trPr>
        <w:tc>
          <w:tcPr>
            <w:tcW w:w="9058" w:type="dxa"/>
            <w:gridSpan w:val="4"/>
            <w:tcBorders>
              <w:top w:val="single" w:color="000000" w:sz="4" w:space="0"/>
              <w:left w:val="single" w:color="000000" w:sz="4" w:space="0"/>
              <w:bottom w:val="single" w:color="000000" w:sz="4" w:space="0"/>
              <w:right w:val="single" w:color="000000" w:sz="4" w:space="0"/>
            </w:tcBorders>
            <w:vAlign w:val="center"/>
          </w:tcPr>
          <w:p>
            <w:pPr>
              <w:pageBreakBefore w:val="0"/>
              <w:kinsoku/>
              <w:topLinePunct w:val="0"/>
              <w:autoSpaceDE w:val="0"/>
              <w:autoSpaceDN w:val="0"/>
              <w:bidi w:val="0"/>
              <w:adjustRightInd w:val="0"/>
              <w:spacing w:line="360" w:lineRule="auto"/>
              <w:jc w:val="both"/>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供应商必须在投标文件中提供涉及评分的证书、证明材料的复印件。以上所提供的相关资料必须真实，一旦发现弄虚作假的证明材料，则取消中标资格，并按骗标行为通报主管部门进行处罚。</w:t>
            </w:r>
          </w:p>
        </w:tc>
      </w:tr>
    </w:tbl>
    <w:p>
      <w:pPr>
        <w:pageBreakBefore w:val="0"/>
        <w:kinsoku/>
        <w:topLinePunct w:val="0"/>
        <w:autoSpaceDE w:val="0"/>
        <w:autoSpaceDN w:val="0"/>
        <w:bidi w:val="0"/>
        <w:adjustRightInd w:val="0"/>
        <w:spacing w:line="360" w:lineRule="auto"/>
        <w:ind w:firstLine="480" w:firstLineChars="200"/>
        <w:jc w:val="both"/>
        <w:rPr>
          <w:rFonts w:hint="eastAsia" w:ascii="宋体" w:hAnsi="宋体" w:eastAsia="微软雅黑"/>
          <w:color w:val="000000"/>
          <w:kern w:val="0"/>
          <w:sz w:val="24"/>
          <w:szCs w:val="24"/>
          <w:highlight w:val="none"/>
          <w:lang w:val="en-US" w:eastAsia="zh-CN"/>
        </w:rPr>
        <w:sectPr>
          <w:pgSz w:w="11906" w:h="16838"/>
          <w:pgMar w:top="1247" w:right="1247" w:bottom="1134" w:left="1644" w:header="851" w:footer="850" w:gutter="0"/>
          <w:pgNumType w:fmt="decimal"/>
          <w:cols w:space="708" w:num="1"/>
          <w:docGrid w:type="lines" w:linePitch="321" w:charSpace="0"/>
        </w:sectPr>
      </w:pPr>
    </w:p>
    <w:p>
      <w:pPr>
        <w:pageBreakBefore w:val="0"/>
        <w:kinsoku/>
        <w:topLinePunct w:val="0"/>
        <w:bidi w:val="0"/>
        <w:spacing w:line="360" w:lineRule="auto"/>
        <w:jc w:val="center"/>
        <w:outlineLvl w:val="0"/>
        <w:rPr>
          <w:rFonts w:hint="eastAsia"/>
          <w:b/>
          <w:color w:val="000000"/>
          <w:sz w:val="48"/>
          <w:szCs w:val="48"/>
          <w:highlight w:val="none"/>
        </w:rPr>
      </w:pPr>
      <w:bookmarkStart w:id="180" w:name="_Toc10757"/>
      <w:r>
        <w:rPr>
          <w:rFonts w:hint="eastAsia"/>
          <w:b/>
          <w:color w:val="000000"/>
          <w:sz w:val="48"/>
          <w:szCs w:val="48"/>
          <w:highlight w:val="none"/>
        </w:rPr>
        <w:t>第六部分  响应文件格式</w:t>
      </w:r>
      <w:bookmarkEnd w:id="177"/>
      <w:bookmarkEnd w:id="178"/>
      <w:bookmarkEnd w:id="180"/>
    </w:p>
    <w:p>
      <w:pPr>
        <w:pageBreakBefore w:val="0"/>
        <w:kinsoku/>
        <w:topLinePunct w:val="0"/>
        <w:bidi w:val="0"/>
        <w:spacing w:line="360" w:lineRule="auto"/>
        <w:jc w:val="left"/>
        <w:rPr>
          <w:rFonts w:hint="eastAsia"/>
          <w:b/>
          <w:color w:val="000000"/>
          <w:highlight w:val="none"/>
        </w:rPr>
      </w:pPr>
    </w:p>
    <w:p>
      <w:pPr>
        <w:pageBreakBefore w:val="0"/>
        <w:kinsoku/>
        <w:topLinePunct w:val="0"/>
        <w:bidi w:val="0"/>
        <w:spacing w:line="360" w:lineRule="auto"/>
        <w:jc w:val="left"/>
        <w:rPr>
          <w:rFonts w:hint="eastAsia"/>
          <w:b/>
          <w:color w:val="000000"/>
          <w:highlight w:val="none"/>
        </w:rPr>
      </w:pPr>
    </w:p>
    <w:p>
      <w:pPr>
        <w:pageBreakBefore w:val="0"/>
        <w:kinsoku/>
        <w:topLinePunct w:val="0"/>
        <w:bidi w:val="0"/>
        <w:spacing w:line="360" w:lineRule="auto"/>
        <w:jc w:val="left"/>
        <w:rPr>
          <w:rFonts w:hint="eastAsia"/>
          <w:b/>
          <w:color w:val="000000"/>
          <w:sz w:val="28"/>
          <w:szCs w:val="28"/>
          <w:highlight w:val="none"/>
        </w:rPr>
      </w:pPr>
      <w:r>
        <w:rPr>
          <w:rFonts w:hint="eastAsia"/>
          <w:b/>
          <w:color w:val="000000"/>
          <w:sz w:val="28"/>
          <w:szCs w:val="28"/>
          <w:highlight w:val="none"/>
        </w:rPr>
        <w:t>（响应文件格式是磋商文件的通用格式。</w:t>
      </w:r>
      <w:r>
        <w:rPr>
          <w:rFonts w:hint="eastAsia"/>
          <w:b/>
          <w:color w:val="000000"/>
          <w:sz w:val="28"/>
          <w:szCs w:val="28"/>
          <w:highlight w:val="none"/>
          <w:lang w:eastAsia="zh-CN"/>
        </w:rPr>
        <w:t>供应商</w:t>
      </w:r>
      <w:r>
        <w:rPr>
          <w:rFonts w:hint="eastAsia"/>
          <w:b/>
          <w:color w:val="000000"/>
          <w:sz w:val="28"/>
          <w:szCs w:val="28"/>
          <w:highlight w:val="none"/>
        </w:rPr>
        <w:t>应根据采购项目性质的不同，提交与本项目相关的格式文件或按符合本行业惯例的格式提交格式文件。与本项目无关的格式文件可以忽略。）</w:t>
      </w:r>
    </w:p>
    <w:p>
      <w:pPr>
        <w:pageBreakBefore w:val="0"/>
        <w:kinsoku/>
        <w:topLinePunct w:val="0"/>
        <w:bidi w:val="0"/>
        <w:spacing w:line="360" w:lineRule="auto"/>
        <w:jc w:val="left"/>
        <w:rPr>
          <w:rFonts w:hint="eastAsia"/>
          <w:b/>
          <w:color w:val="000000"/>
          <w:sz w:val="28"/>
          <w:szCs w:val="28"/>
          <w:highlight w:val="none"/>
        </w:rPr>
      </w:pPr>
    </w:p>
    <w:p>
      <w:pPr>
        <w:pageBreakBefore w:val="0"/>
        <w:kinsoku/>
        <w:topLinePunct w:val="0"/>
        <w:bidi w:val="0"/>
        <w:spacing w:line="360" w:lineRule="auto"/>
        <w:jc w:val="center"/>
        <w:outlineLvl w:val="9"/>
        <w:rPr>
          <w:rFonts w:hint="eastAsia"/>
          <w:b/>
          <w:color w:val="000000"/>
          <w:sz w:val="28"/>
          <w:szCs w:val="28"/>
          <w:highlight w:val="none"/>
        </w:rPr>
        <w:sectPr>
          <w:pgSz w:w="11906" w:h="16838"/>
          <w:pgMar w:top="1247" w:right="1247" w:bottom="1134" w:left="1644" w:header="851" w:footer="850" w:gutter="0"/>
          <w:pgNumType w:fmt="decimal"/>
          <w:cols w:space="708" w:num="1"/>
          <w:docGrid w:type="lines" w:linePitch="321" w:charSpace="0"/>
        </w:sectPr>
      </w:pPr>
      <w:r>
        <w:rPr>
          <w:rFonts w:hint="eastAsia"/>
          <w:b/>
          <w:color w:val="000000"/>
          <w:sz w:val="28"/>
          <w:szCs w:val="28"/>
          <w:highlight w:val="none"/>
        </w:rPr>
        <w:t>目录（格式自拟）</w:t>
      </w:r>
      <w:bookmarkStart w:id="181" w:name="_Toc17758"/>
      <w:bookmarkStart w:id="182" w:name="_Toc317237630"/>
      <w:bookmarkStart w:id="183" w:name="_Toc212102882"/>
    </w:p>
    <w:p>
      <w:pPr>
        <w:pageBreakBefore w:val="0"/>
        <w:kinsoku/>
        <w:topLinePunct w:val="0"/>
        <w:bidi w:val="0"/>
        <w:spacing w:line="360" w:lineRule="auto"/>
        <w:jc w:val="center"/>
        <w:outlineLvl w:val="1"/>
        <w:rPr>
          <w:rFonts w:hint="eastAsia"/>
          <w:color w:val="000000"/>
          <w:sz w:val="32"/>
          <w:highlight w:val="none"/>
        </w:rPr>
      </w:pPr>
      <w:bookmarkStart w:id="184" w:name="_Toc32679"/>
      <w:r>
        <w:rPr>
          <w:rFonts w:hint="eastAsia" w:ascii="Times New Roman" w:hAnsi="Times New Roman" w:eastAsia="宋体"/>
          <w:b/>
          <w:bCs/>
          <w:color w:val="000000"/>
          <w:kern w:val="2"/>
          <w:sz w:val="32"/>
          <w:szCs w:val="32"/>
          <w:highlight w:val="none"/>
          <w:lang w:val="en-US" w:eastAsia="zh-CN" w:bidi="ar-SA"/>
        </w:rPr>
        <w:t>一、报价文件格式</w:t>
      </w:r>
      <w:bookmarkEnd w:id="181"/>
      <w:bookmarkEnd w:id="182"/>
      <w:bookmarkEnd w:id="184"/>
    </w:p>
    <w:p>
      <w:pPr>
        <w:pStyle w:val="2"/>
        <w:keepNext w:val="0"/>
        <w:keepLines w:val="0"/>
        <w:pageBreakBefore w:val="0"/>
        <w:numPr>
          <w:ilvl w:val="1"/>
          <w:numId w:val="8"/>
        </w:numPr>
        <w:tabs>
          <w:tab w:val="left" w:pos="210"/>
          <w:tab w:val="left" w:pos="540"/>
          <w:tab w:val="left" w:pos="720"/>
          <w:tab w:val="clear" w:pos="840"/>
        </w:tabs>
        <w:kinsoku/>
        <w:topLinePunct w:val="0"/>
        <w:bidi w:val="0"/>
        <w:adjustRightInd w:val="0"/>
        <w:spacing w:before="160" w:beforeLines="50" w:beforeAutospacing="0" w:after="160" w:afterLines="50" w:afterAutospacing="0" w:line="360" w:lineRule="auto"/>
        <w:ind w:left="0" w:firstLine="0"/>
        <w:jc w:val="center"/>
        <w:rPr>
          <w:rFonts w:hint="eastAsia" w:ascii="Times New Roman" w:hAnsi="Times New Roman" w:eastAsia="宋体"/>
          <w:color w:val="000000"/>
          <w:sz w:val="32"/>
          <w:highlight w:val="none"/>
        </w:rPr>
      </w:pPr>
      <w:bookmarkStart w:id="185" w:name="_Toc317237631"/>
      <w:bookmarkStart w:id="186" w:name="_Toc28384"/>
      <w:bookmarkStart w:id="187" w:name="_Toc31977"/>
      <w:r>
        <w:rPr>
          <w:rFonts w:hint="eastAsia" w:ascii="Times New Roman" w:hAnsi="Times New Roman" w:eastAsia="宋体"/>
          <w:color w:val="000000"/>
          <w:sz w:val="32"/>
          <w:highlight w:val="none"/>
        </w:rPr>
        <w:t>报价函格式</w:t>
      </w:r>
      <w:bookmarkEnd w:id="185"/>
      <w:bookmarkEnd w:id="186"/>
      <w:bookmarkEnd w:id="187"/>
    </w:p>
    <w:p>
      <w:pPr>
        <w:pageBreakBefore w:val="0"/>
        <w:kinsoku/>
        <w:topLinePunct w:val="0"/>
        <w:bidi w:val="0"/>
        <w:spacing w:line="360" w:lineRule="auto"/>
        <w:jc w:val="left"/>
        <w:rPr>
          <w:rFonts w:hint="eastAsia"/>
          <w:b/>
          <w:color w:val="000000"/>
          <w:highlight w:val="none"/>
        </w:rPr>
      </w:pPr>
    </w:p>
    <w:p>
      <w:pPr>
        <w:pStyle w:val="6"/>
        <w:pageBreakBefore w:val="0"/>
        <w:kinsoku/>
        <w:overflowPunct w:val="0"/>
        <w:topLinePunct w:val="0"/>
        <w:bidi w:val="0"/>
        <w:spacing w:line="360" w:lineRule="auto"/>
        <w:ind w:firstLine="0"/>
        <w:jc w:val="center"/>
        <w:rPr>
          <w:b/>
          <w:color w:val="000000"/>
          <w:highlight w:val="none"/>
        </w:rPr>
      </w:pPr>
      <w:r>
        <w:rPr>
          <w:rFonts w:hint="eastAsia" w:eastAsia="宋体"/>
          <w:b/>
          <w:color w:val="000000"/>
          <w:sz w:val="36"/>
          <w:szCs w:val="36"/>
          <w:highlight w:val="none"/>
        </w:rPr>
        <w:t>报  价  函</w:t>
      </w:r>
    </w:p>
    <w:p>
      <w:pPr>
        <w:pStyle w:val="36"/>
        <w:pageBreakBefore w:val="0"/>
        <w:kinsoku/>
        <w:topLinePunct w:val="0"/>
        <w:bidi w:val="0"/>
        <w:spacing w:line="360" w:lineRule="auto"/>
        <w:rPr>
          <w:rFonts w:hint="eastAsia" w:ascii="Times New Roman" w:hAnsi="Times New Roman" w:eastAsia="宋体"/>
          <w:color w:val="000000"/>
          <w:sz w:val="24"/>
          <w:szCs w:val="24"/>
          <w:highlight w:val="none"/>
        </w:rPr>
      </w:pPr>
      <w:r>
        <w:rPr>
          <w:rFonts w:hint="eastAsia" w:ascii="Times New Roman" w:hAnsi="Times New Roman" w:eastAsia="宋体"/>
          <w:color w:val="000000"/>
          <w:sz w:val="24"/>
          <w:szCs w:val="24"/>
          <w:highlight w:val="none"/>
          <w:u w:val="single"/>
          <w:lang w:eastAsia="zh-CN"/>
        </w:rPr>
        <w:t>海南</w:t>
      </w:r>
      <w:r>
        <w:rPr>
          <w:rFonts w:hint="eastAsia" w:ascii="Times New Roman" w:hAnsi="Times New Roman" w:eastAsia="宋体"/>
          <w:color w:val="000000"/>
          <w:sz w:val="24"/>
          <w:szCs w:val="24"/>
          <w:highlight w:val="none"/>
          <w:u w:val="single"/>
          <w:lang w:val="en-US" w:eastAsia="zh-CN"/>
        </w:rPr>
        <w:t>珑宸</w:t>
      </w:r>
      <w:r>
        <w:rPr>
          <w:rFonts w:hint="eastAsia" w:ascii="Times New Roman" w:hAnsi="Times New Roman" w:eastAsia="宋体"/>
          <w:color w:val="000000"/>
          <w:sz w:val="24"/>
          <w:szCs w:val="24"/>
          <w:highlight w:val="none"/>
          <w:u w:val="single"/>
          <w:lang w:eastAsia="zh-CN"/>
        </w:rPr>
        <w:t>项目管理有限公司</w:t>
      </w:r>
      <w:r>
        <w:rPr>
          <w:rFonts w:hint="eastAsia" w:ascii="Times New Roman" w:hAnsi="Times New Roman" w:eastAsia="宋体"/>
          <w:color w:val="000000"/>
          <w:sz w:val="24"/>
          <w:szCs w:val="24"/>
          <w:highlight w:val="none"/>
        </w:rPr>
        <w:t>：</w:t>
      </w:r>
    </w:p>
    <w:p>
      <w:pPr>
        <w:pageBreakBefore w:val="0"/>
        <w:kinsoku/>
        <w:topLinePunct w:val="0"/>
        <w:bidi w:val="0"/>
        <w:spacing w:line="360" w:lineRule="auto"/>
        <w:jc w:val="left"/>
        <w:rPr>
          <w:b/>
          <w:color w:val="000000"/>
          <w:highlight w:val="none"/>
        </w:rPr>
      </w:pPr>
    </w:p>
    <w:p>
      <w:pPr>
        <w:pStyle w:val="36"/>
        <w:pageBreakBefore w:val="0"/>
        <w:kinsoku/>
        <w:topLinePunct w:val="0"/>
        <w:bidi w:val="0"/>
        <w:spacing w:line="360" w:lineRule="auto"/>
        <w:ind w:firstLine="480" w:firstLineChars="200"/>
        <w:rPr>
          <w:rFonts w:ascii="Times New Roman" w:hAnsi="Times New Roman" w:eastAsia="宋体"/>
          <w:color w:val="000000"/>
          <w:sz w:val="24"/>
          <w:szCs w:val="24"/>
          <w:highlight w:val="none"/>
        </w:rPr>
      </w:pPr>
      <w:r>
        <w:rPr>
          <w:rFonts w:hint="eastAsia" w:ascii="Times New Roman" w:hAnsi="Times New Roman" w:eastAsia="宋体"/>
          <w:color w:val="000000"/>
          <w:sz w:val="24"/>
          <w:szCs w:val="24"/>
          <w:highlight w:val="none"/>
        </w:rPr>
        <w:t>我们仔细阅读并全</w:t>
      </w:r>
      <w:r>
        <w:rPr>
          <w:rFonts w:hint="eastAsia" w:ascii="宋体" w:hAnsi="宋体" w:eastAsia="宋体" w:cs="宋体"/>
          <w:color w:val="000000"/>
          <w:sz w:val="24"/>
          <w:szCs w:val="24"/>
          <w:highlight w:val="none"/>
        </w:rPr>
        <w:t>面研究了</w:t>
      </w:r>
      <w:r>
        <w:rPr>
          <w:rFonts w:hint="eastAsia" w:ascii="宋体" w:hAnsi="宋体" w:eastAsia="宋体" w:cs="宋体"/>
          <w:b w:val="0"/>
          <w:bCs w:val="0"/>
          <w:color w:val="000000"/>
          <w:sz w:val="24"/>
          <w:szCs w:val="24"/>
          <w:u w:val="single"/>
          <w:lang w:val="en-US" w:eastAsia="zh-CN"/>
        </w:rPr>
        <w:t xml:space="preserve">                        （项目名称）      （</w:t>
      </w:r>
      <w:r>
        <w:rPr>
          <w:rFonts w:hint="eastAsia" w:ascii="宋体" w:hAnsi="宋体" w:eastAsia="宋体" w:cs="宋体"/>
          <w:color w:val="000000"/>
          <w:sz w:val="24"/>
          <w:szCs w:val="24"/>
          <w:highlight w:val="none"/>
          <w:lang w:val="en-US" w:eastAsia="zh-CN"/>
        </w:rPr>
        <w:t>包号）</w:t>
      </w:r>
      <w:r>
        <w:rPr>
          <w:rFonts w:hint="eastAsia" w:ascii="宋体" w:hAnsi="宋体" w:eastAsia="宋体" w:cs="宋体"/>
          <w:color w:val="000000"/>
          <w:sz w:val="24"/>
          <w:szCs w:val="24"/>
          <w:highlight w:val="none"/>
          <w:u w:val="single"/>
          <w:lang w:val="en-US" w:eastAsia="zh-CN"/>
        </w:rPr>
        <w:t xml:space="preserve">       </w:t>
      </w:r>
      <w:r>
        <w:rPr>
          <w:rFonts w:hint="eastAsia" w:ascii="宋体" w:hAnsi="宋体" w:eastAsia="宋体" w:cs="宋体"/>
          <w:b w:val="0"/>
          <w:bCs w:val="0"/>
          <w:color w:val="000000"/>
          <w:sz w:val="24"/>
          <w:szCs w:val="24"/>
          <w:u w:val="single"/>
          <w:lang w:val="en-US" w:eastAsia="zh-CN"/>
        </w:rPr>
        <w:t xml:space="preserve"> </w:t>
      </w:r>
      <w:r>
        <w:rPr>
          <w:rFonts w:hint="eastAsia" w:ascii="宋体" w:hAnsi="宋体" w:eastAsia="宋体" w:cs="宋体"/>
          <w:color w:val="000000"/>
          <w:sz w:val="24"/>
          <w:szCs w:val="24"/>
          <w:highlight w:val="none"/>
        </w:rPr>
        <w:t>（项目编号：</w:t>
      </w:r>
      <w:r>
        <w:rPr>
          <w:rFonts w:hint="eastAsia" w:ascii="宋体" w:hAnsi="宋体" w:eastAsia="宋体" w:cs="宋体"/>
          <w:color w:val="000000"/>
          <w:sz w:val="24"/>
          <w:szCs w:val="24"/>
          <w:highlight w:val="none"/>
          <w:u w:val="single"/>
          <w:lang w:val="en-US" w:eastAsia="zh-CN"/>
        </w:rPr>
        <w:t xml:space="preserve">         </w:t>
      </w:r>
      <w:r>
        <w:rPr>
          <w:rFonts w:hint="eastAsia" w:ascii="宋体" w:hAnsi="宋体" w:eastAsia="宋体" w:cs="宋体"/>
          <w:color w:val="000000"/>
          <w:sz w:val="24"/>
          <w:szCs w:val="24"/>
          <w:highlight w:val="none"/>
        </w:rPr>
        <w:t>）磋商文件，决</w:t>
      </w:r>
      <w:r>
        <w:rPr>
          <w:rFonts w:hint="eastAsia" w:ascii="Times New Roman" w:hAnsi="Times New Roman" w:eastAsia="宋体"/>
          <w:color w:val="000000"/>
          <w:sz w:val="24"/>
          <w:szCs w:val="24"/>
          <w:highlight w:val="none"/>
        </w:rPr>
        <w:t>定响应磋商文件的邀请，参与本项目。</w:t>
      </w:r>
    </w:p>
    <w:p>
      <w:pPr>
        <w:pageBreakBefore w:val="0"/>
        <w:numPr>
          <w:ilvl w:val="0"/>
          <w:numId w:val="9"/>
        </w:numPr>
        <w:kinsoku/>
        <w:topLinePunct w:val="0"/>
        <w:bidi w:val="0"/>
        <w:spacing w:line="360" w:lineRule="auto"/>
        <w:ind w:firstLine="480" w:firstLineChars="200"/>
        <w:rPr>
          <w:rFonts w:hint="eastAsia"/>
          <w:color w:val="000000"/>
          <w:sz w:val="24"/>
          <w:highlight w:val="none"/>
        </w:rPr>
      </w:pPr>
      <w:r>
        <w:rPr>
          <w:rFonts w:hint="eastAsia"/>
          <w:color w:val="000000"/>
          <w:sz w:val="24"/>
          <w:highlight w:val="none"/>
        </w:rPr>
        <w:t>我们自愿按照磋商文件规定的各项要求向采购人提供所需货物及伴随服务。我们提供的《报价一览表》的报价，包括了材料、安装、人工、机械、保险、劳保、各种税费以及质保等完成该项目全部内容的一切费用。我们的磋商总价为人民币</w:t>
      </w:r>
      <w:r>
        <w:rPr>
          <w:color w:val="000000"/>
          <w:sz w:val="24"/>
          <w:highlight w:val="none"/>
        </w:rPr>
        <w:t>(</w:t>
      </w:r>
      <w:r>
        <w:rPr>
          <w:rFonts w:hint="eastAsia"/>
          <w:color w:val="000000"/>
          <w:sz w:val="24"/>
          <w:highlight w:val="none"/>
        </w:rPr>
        <w:t xml:space="preserve">大写）                                                       </w:t>
      </w:r>
    </w:p>
    <w:p>
      <w:pPr>
        <w:pageBreakBefore w:val="0"/>
        <w:kinsoku/>
        <w:topLinePunct w:val="0"/>
        <w:bidi w:val="0"/>
        <w:spacing w:line="360" w:lineRule="auto"/>
        <w:rPr>
          <w:color w:val="000000"/>
          <w:sz w:val="24"/>
          <w:highlight w:val="none"/>
        </w:rPr>
      </w:pPr>
      <w:r>
        <w:rPr>
          <w:rFonts w:hint="eastAsia"/>
          <w:color w:val="000000"/>
          <w:sz w:val="24"/>
          <w:highlight w:val="none"/>
        </w:rPr>
        <w:t xml:space="preserve"> </w:t>
      </w:r>
      <w:r>
        <w:rPr>
          <w:color w:val="000000"/>
          <w:sz w:val="24"/>
          <w:highlight w:val="none"/>
          <w:u w:val="single"/>
        </w:rPr>
        <w:t xml:space="preserve">                 </w:t>
      </w:r>
      <w:r>
        <w:rPr>
          <w:rFonts w:hint="eastAsia"/>
          <w:color w:val="000000"/>
          <w:sz w:val="24"/>
          <w:highlight w:val="none"/>
          <w:u w:val="single"/>
        </w:rPr>
        <w:t xml:space="preserve">                        </w:t>
      </w:r>
      <w:r>
        <w:rPr>
          <w:rFonts w:hint="eastAsia"/>
          <w:color w:val="000000"/>
          <w:sz w:val="24"/>
          <w:highlight w:val="none"/>
        </w:rPr>
        <w:t>（￥           ）。</w:t>
      </w:r>
    </w:p>
    <w:p>
      <w:pPr>
        <w:pStyle w:val="36"/>
        <w:pageBreakBefore w:val="0"/>
        <w:kinsoku/>
        <w:topLinePunct w:val="0"/>
        <w:bidi w:val="0"/>
        <w:spacing w:line="360" w:lineRule="auto"/>
        <w:ind w:firstLine="480" w:firstLineChars="200"/>
        <w:rPr>
          <w:rFonts w:hint="eastAsia" w:ascii="Times New Roman" w:hAnsi="Times New Roman" w:eastAsia="宋体"/>
          <w:color w:val="000000"/>
          <w:sz w:val="24"/>
          <w:szCs w:val="24"/>
          <w:highlight w:val="none"/>
        </w:rPr>
      </w:pPr>
      <w:r>
        <w:rPr>
          <w:rFonts w:ascii="Times New Roman" w:hAnsi="Times New Roman" w:eastAsia="宋体"/>
          <w:color w:val="000000"/>
          <w:sz w:val="24"/>
          <w:szCs w:val="24"/>
          <w:highlight w:val="none"/>
        </w:rPr>
        <w:t>2</w:t>
      </w:r>
      <w:r>
        <w:rPr>
          <w:rFonts w:hint="eastAsia" w:ascii="Times New Roman" w:hAnsi="Times New Roman" w:eastAsia="宋体"/>
          <w:color w:val="000000"/>
          <w:sz w:val="24"/>
          <w:szCs w:val="24"/>
          <w:highlight w:val="none"/>
        </w:rPr>
        <w:t>、我们充分理解并完全接受合同专用条款的各项约定，没有任何异议，不附加任何条件。</w:t>
      </w:r>
    </w:p>
    <w:p>
      <w:pPr>
        <w:pStyle w:val="36"/>
        <w:pageBreakBefore w:val="0"/>
        <w:kinsoku/>
        <w:topLinePunct w:val="0"/>
        <w:bidi w:val="0"/>
        <w:spacing w:line="360" w:lineRule="auto"/>
        <w:ind w:firstLine="480" w:firstLineChars="200"/>
        <w:rPr>
          <w:rFonts w:ascii="Times New Roman" w:hAnsi="Times New Roman" w:eastAsia="宋体"/>
          <w:color w:val="000000"/>
          <w:sz w:val="24"/>
          <w:szCs w:val="24"/>
          <w:highlight w:val="none"/>
        </w:rPr>
      </w:pPr>
      <w:r>
        <w:rPr>
          <w:rFonts w:ascii="Times New Roman" w:hAnsi="Times New Roman" w:eastAsia="宋体"/>
          <w:color w:val="000000"/>
          <w:sz w:val="24"/>
          <w:szCs w:val="24"/>
          <w:highlight w:val="none"/>
        </w:rPr>
        <w:t>3</w:t>
      </w:r>
      <w:r>
        <w:rPr>
          <w:rFonts w:hint="eastAsia" w:ascii="Times New Roman" w:hAnsi="Times New Roman" w:eastAsia="宋体"/>
          <w:color w:val="000000"/>
          <w:sz w:val="24"/>
          <w:szCs w:val="24"/>
          <w:highlight w:val="none"/>
        </w:rPr>
        <w:t>、如果我们被授予合同，我们将严格履行合同规定的责任和义务，保证按期、按质、按量完成合同义务。</w:t>
      </w:r>
    </w:p>
    <w:p>
      <w:pPr>
        <w:pStyle w:val="36"/>
        <w:pageBreakBefore w:val="0"/>
        <w:kinsoku/>
        <w:topLinePunct w:val="0"/>
        <w:bidi w:val="0"/>
        <w:spacing w:line="360" w:lineRule="auto"/>
        <w:ind w:firstLine="480" w:firstLineChars="200"/>
        <w:rPr>
          <w:rFonts w:hint="eastAsia" w:ascii="Times New Roman" w:hAnsi="Times New Roman" w:eastAsia="宋体"/>
          <w:color w:val="000000"/>
          <w:sz w:val="24"/>
          <w:szCs w:val="24"/>
          <w:highlight w:val="none"/>
        </w:rPr>
      </w:pPr>
      <w:r>
        <w:rPr>
          <w:rFonts w:hint="eastAsia" w:ascii="Times New Roman" w:hAnsi="Times New Roman" w:eastAsia="宋体"/>
          <w:color w:val="000000"/>
          <w:sz w:val="24"/>
          <w:szCs w:val="24"/>
          <w:highlight w:val="none"/>
        </w:rPr>
        <w:t>4、我们同意按照磋商文件的要求，交纳人民币（大写）：</w:t>
      </w:r>
      <w:r>
        <w:rPr>
          <w:rFonts w:hint="eastAsia" w:ascii="Times New Roman" w:hAnsi="Times New Roman" w:eastAsia="宋体"/>
          <w:color w:val="000000"/>
          <w:sz w:val="24"/>
          <w:szCs w:val="24"/>
          <w:highlight w:val="none"/>
          <w:u w:val="single"/>
        </w:rPr>
        <w:t xml:space="preserve">        </w:t>
      </w:r>
      <w:r>
        <w:rPr>
          <w:rFonts w:hint="eastAsia" w:ascii="Times New Roman" w:hAnsi="Times New Roman" w:eastAsia="宋体"/>
          <w:color w:val="000000"/>
          <w:sz w:val="24"/>
          <w:szCs w:val="24"/>
          <w:highlight w:val="none"/>
        </w:rPr>
        <w:t>元的磋商保证金。并承诺如果发生下列情况，我方无权要求退还磋商保证金：</w:t>
      </w:r>
    </w:p>
    <w:p>
      <w:pPr>
        <w:pStyle w:val="36"/>
        <w:pageBreakBefore w:val="0"/>
        <w:kinsoku/>
        <w:topLinePunct w:val="0"/>
        <w:bidi w:val="0"/>
        <w:spacing w:line="360" w:lineRule="auto"/>
        <w:ind w:firstLine="480" w:firstLineChars="200"/>
        <w:rPr>
          <w:rFonts w:hint="eastAsia" w:ascii="Times New Roman" w:hAnsi="Times New Roman" w:eastAsia="宋体"/>
          <w:color w:val="000000"/>
          <w:sz w:val="24"/>
          <w:szCs w:val="24"/>
          <w:highlight w:val="none"/>
        </w:rPr>
      </w:pPr>
      <w:r>
        <w:rPr>
          <w:rFonts w:hint="eastAsia" w:ascii="Times New Roman" w:hAnsi="Times New Roman" w:eastAsia="宋体"/>
          <w:color w:val="000000"/>
          <w:sz w:val="24"/>
          <w:szCs w:val="24"/>
          <w:highlight w:val="none"/>
        </w:rPr>
        <w:t>（1）我方在磋商有效期内撤回响应文件；</w:t>
      </w:r>
    </w:p>
    <w:p>
      <w:pPr>
        <w:pStyle w:val="36"/>
        <w:pageBreakBefore w:val="0"/>
        <w:kinsoku/>
        <w:topLinePunct w:val="0"/>
        <w:bidi w:val="0"/>
        <w:spacing w:line="360" w:lineRule="auto"/>
        <w:ind w:firstLine="480" w:firstLineChars="200"/>
        <w:rPr>
          <w:rFonts w:hint="eastAsia" w:ascii="Times New Roman" w:hAnsi="Times New Roman" w:eastAsia="宋体"/>
          <w:color w:val="000000"/>
          <w:sz w:val="24"/>
          <w:szCs w:val="24"/>
          <w:highlight w:val="none"/>
        </w:rPr>
      </w:pPr>
      <w:r>
        <w:rPr>
          <w:rFonts w:hint="eastAsia" w:ascii="Times New Roman" w:hAnsi="Times New Roman" w:eastAsia="宋体"/>
          <w:color w:val="000000"/>
          <w:sz w:val="24"/>
          <w:szCs w:val="24"/>
          <w:highlight w:val="none"/>
        </w:rPr>
        <w:t>（2）我方提供了虚假响应磋商文件的响应文件；</w:t>
      </w:r>
    </w:p>
    <w:p>
      <w:pPr>
        <w:pStyle w:val="36"/>
        <w:pageBreakBefore w:val="0"/>
        <w:kinsoku/>
        <w:topLinePunct w:val="0"/>
        <w:bidi w:val="0"/>
        <w:spacing w:line="360" w:lineRule="auto"/>
        <w:ind w:firstLine="480" w:firstLineChars="200"/>
        <w:rPr>
          <w:rFonts w:hint="eastAsia" w:ascii="Times New Roman" w:hAnsi="Times New Roman" w:eastAsia="宋体"/>
          <w:color w:val="000000"/>
          <w:sz w:val="24"/>
          <w:szCs w:val="24"/>
          <w:highlight w:val="none"/>
        </w:rPr>
      </w:pPr>
      <w:r>
        <w:rPr>
          <w:rFonts w:hint="eastAsia" w:ascii="Times New Roman" w:hAnsi="Times New Roman" w:eastAsia="宋体"/>
          <w:color w:val="000000"/>
          <w:sz w:val="24"/>
          <w:szCs w:val="24"/>
          <w:highlight w:val="none"/>
        </w:rPr>
        <w:t>（3）在磋商过程中有违反法律法规和相关纪律的行为；</w:t>
      </w:r>
    </w:p>
    <w:p>
      <w:pPr>
        <w:pStyle w:val="36"/>
        <w:pageBreakBefore w:val="0"/>
        <w:kinsoku/>
        <w:topLinePunct w:val="0"/>
        <w:bidi w:val="0"/>
        <w:spacing w:line="360" w:lineRule="auto"/>
        <w:ind w:firstLine="480" w:firstLineChars="200"/>
        <w:rPr>
          <w:rFonts w:hint="eastAsia" w:ascii="Times New Roman" w:hAnsi="Times New Roman" w:eastAsia="宋体"/>
          <w:color w:val="000000"/>
          <w:sz w:val="24"/>
          <w:szCs w:val="24"/>
          <w:highlight w:val="none"/>
        </w:rPr>
      </w:pPr>
      <w:r>
        <w:rPr>
          <w:rFonts w:hint="eastAsia" w:ascii="Times New Roman" w:hAnsi="Times New Roman" w:eastAsia="宋体"/>
          <w:color w:val="000000"/>
          <w:sz w:val="24"/>
          <w:szCs w:val="24"/>
          <w:highlight w:val="none"/>
        </w:rPr>
        <w:t>（4）在收到成交通知书后并在磋商有效期内，由于我方原因未能按照磋商文件要求提交履约保证金或与采购人签订并履行合同。</w:t>
      </w:r>
    </w:p>
    <w:p>
      <w:pPr>
        <w:pStyle w:val="36"/>
        <w:pageBreakBefore w:val="0"/>
        <w:kinsoku/>
        <w:topLinePunct w:val="0"/>
        <w:bidi w:val="0"/>
        <w:spacing w:line="360" w:lineRule="auto"/>
        <w:ind w:firstLine="480" w:firstLineChars="200"/>
        <w:rPr>
          <w:rFonts w:ascii="Times New Roman" w:hAnsi="Times New Roman" w:eastAsia="宋体"/>
          <w:color w:val="000000"/>
          <w:sz w:val="24"/>
          <w:szCs w:val="24"/>
          <w:highlight w:val="none"/>
        </w:rPr>
      </w:pPr>
      <w:r>
        <w:rPr>
          <w:rFonts w:hint="eastAsia" w:ascii="Times New Roman" w:hAnsi="Times New Roman" w:eastAsia="宋体"/>
          <w:color w:val="000000"/>
          <w:sz w:val="24"/>
          <w:szCs w:val="24"/>
          <w:highlight w:val="none"/>
        </w:rPr>
        <w:t>5、我们同意按磋商文件中的规定，本响应文件的有效期限为开启响应文件后</w:t>
      </w:r>
      <w:r>
        <w:rPr>
          <w:rFonts w:hint="eastAsia" w:ascii="Times New Roman" w:hAnsi="Times New Roman" w:eastAsia="宋体"/>
          <w:b/>
          <w:color w:val="000000"/>
          <w:sz w:val="24"/>
          <w:szCs w:val="24"/>
          <w:highlight w:val="none"/>
          <w:u w:val="single"/>
        </w:rPr>
        <w:t>60</w:t>
      </w:r>
      <w:r>
        <w:rPr>
          <w:rFonts w:hint="eastAsia" w:ascii="Times New Roman" w:hAnsi="Times New Roman" w:eastAsia="宋体"/>
          <w:color w:val="000000"/>
          <w:sz w:val="24"/>
          <w:szCs w:val="24"/>
          <w:highlight w:val="none"/>
        </w:rPr>
        <w:t>天。</w:t>
      </w:r>
    </w:p>
    <w:p>
      <w:pPr>
        <w:pStyle w:val="36"/>
        <w:pageBreakBefore w:val="0"/>
        <w:kinsoku/>
        <w:topLinePunct w:val="0"/>
        <w:bidi w:val="0"/>
        <w:spacing w:line="360" w:lineRule="auto"/>
        <w:ind w:firstLine="480" w:firstLineChars="200"/>
        <w:rPr>
          <w:rFonts w:ascii="Times New Roman" w:hAnsi="Times New Roman" w:eastAsia="宋体"/>
          <w:color w:val="000000"/>
          <w:sz w:val="24"/>
          <w:szCs w:val="24"/>
          <w:highlight w:val="none"/>
        </w:rPr>
      </w:pPr>
      <w:r>
        <w:rPr>
          <w:rFonts w:hint="eastAsia" w:ascii="Times New Roman" w:hAnsi="Times New Roman" w:eastAsia="宋体"/>
          <w:color w:val="000000"/>
          <w:sz w:val="24"/>
          <w:szCs w:val="24"/>
          <w:highlight w:val="none"/>
        </w:rPr>
        <w:t>6、我们愿意提供采购方在磋商文件中要求的所有资料。</w:t>
      </w:r>
    </w:p>
    <w:p>
      <w:pPr>
        <w:pStyle w:val="36"/>
        <w:pageBreakBefore w:val="0"/>
        <w:kinsoku/>
        <w:topLinePunct w:val="0"/>
        <w:bidi w:val="0"/>
        <w:spacing w:line="360" w:lineRule="auto"/>
        <w:ind w:firstLine="480" w:firstLineChars="200"/>
        <w:rPr>
          <w:rFonts w:ascii="Times New Roman" w:hAnsi="Times New Roman" w:eastAsia="宋体"/>
          <w:color w:val="000000"/>
          <w:sz w:val="24"/>
          <w:szCs w:val="24"/>
          <w:highlight w:val="none"/>
        </w:rPr>
      </w:pPr>
      <w:r>
        <w:rPr>
          <w:rFonts w:ascii="Times New Roman" w:hAnsi="Times New Roman" w:eastAsia="宋体"/>
          <w:color w:val="000000"/>
          <w:sz w:val="24"/>
          <w:szCs w:val="24"/>
          <w:highlight w:val="none"/>
        </w:rPr>
        <w:t>7</w:t>
      </w:r>
      <w:r>
        <w:rPr>
          <w:rFonts w:hint="eastAsia" w:ascii="Times New Roman" w:hAnsi="Times New Roman" w:eastAsia="宋体"/>
          <w:color w:val="000000"/>
          <w:sz w:val="24"/>
          <w:szCs w:val="24"/>
          <w:highlight w:val="none"/>
        </w:rPr>
        <w:t>、我们愿意遵守采购公告及磋商文件中明示的收费标准。</w:t>
      </w:r>
    </w:p>
    <w:p>
      <w:pPr>
        <w:pStyle w:val="36"/>
        <w:pageBreakBefore w:val="0"/>
        <w:kinsoku/>
        <w:topLinePunct w:val="0"/>
        <w:bidi w:val="0"/>
        <w:spacing w:line="360" w:lineRule="auto"/>
        <w:ind w:firstLine="480" w:firstLineChars="200"/>
        <w:rPr>
          <w:rFonts w:ascii="Times New Roman" w:hAnsi="Times New Roman" w:eastAsia="宋体"/>
          <w:color w:val="000000"/>
          <w:sz w:val="24"/>
          <w:szCs w:val="24"/>
          <w:highlight w:val="none"/>
        </w:rPr>
      </w:pPr>
      <w:r>
        <w:rPr>
          <w:rFonts w:hint="eastAsia" w:ascii="Times New Roman" w:hAnsi="Times New Roman" w:eastAsia="宋体"/>
          <w:color w:val="000000"/>
          <w:sz w:val="24"/>
          <w:szCs w:val="24"/>
          <w:highlight w:val="none"/>
        </w:rPr>
        <w:t>8、我们承诺响应文件在提交响应文件截止时间后至磋商有效期截止前保持有效，不作任何更改和变动。</w:t>
      </w:r>
    </w:p>
    <w:p>
      <w:pPr>
        <w:pStyle w:val="36"/>
        <w:pageBreakBefore w:val="0"/>
        <w:kinsoku/>
        <w:topLinePunct w:val="0"/>
        <w:bidi w:val="0"/>
        <w:spacing w:line="360" w:lineRule="auto"/>
        <w:ind w:firstLine="480" w:firstLineChars="200"/>
        <w:rPr>
          <w:rFonts w:hint="eastAsia" w:ascii="Times New Roman" w:hAnsi="Times New Roman" w:eastAsia="宋体"/>
          <w:color w:val="000000"/>
          <w:sz w:val="24"/>
          <w:szCs w:val="24"/>
          <w:highlight w:val="none"/>
        </w:rPr>
      </w:pPr>
    </w:p>
    <w:p>
      <w:pPr>
        <w:pStyle w:val="36"/>
        <w:pageBreakBefore w:val="0"/>
        <w:kinsoku/>
        <w:topLinePunct w:val="0"/>
        <w:bidi w:val="0"/>
        <w:spacing w:line="360" w:lineRule="auto"/>
        <w:ind w:firstLine="480" w:firstLineChars="200"/>
        <w:rPr>
          <w:rFonts w:hint="eastAsia" w:ascii="Times New Roman" w:hAnsi="Times New Roman" w:eastAsia="宋体"/>
          <w:color w:val="000000"/>
          <w:sz w:val="24"/>
          <w:szCs w:val="24"/>
          <w:highlight w:val="none"/>
        </w:rPr>
      </w:pPr>
    </w:p>
    <w:p>
      <w:pPr>
        <w:pStyle w:val="36"/>
        <w:pageBreakBefore w:val="0"/>
        <w:kinsoku/>
        <w:topLinePunct w:val="0"/>
        <w:bidi w:val="0"/>
        <w:spacing w:line="360" w:lineRule="auto"/>
        <w:ind w:left="3400" w:hanging="3400"/>
        <w:jc w:val="left"/>
        <w:rPr>
          <w:rFonts w:ascii="Times New Roman" w:hAnsi="Times New Roman" w:eastAsia="宋体"/>
          <w:color w:val="000000"/>
          <w:sz w:val="24"/>
          <w:szCs w:val="24"/>
          <w:highlight w:val="none"/>
        </w:rPr>
      </w:pPr>
      <w:r>
        <w:rPr>
          <w:rFonts w:hint="eastAsia" w:ascii="Times New Roman" w:hAnsi="Times New Roman" w:eastAsia="宋体"/>
          <w:color w:val="000000"/>
          <w:sz w:val="24"/>
          <w:szCs w:val="24"/>
          <w:highlight w:val="none"/>
          <w:lang w:eastAsia="zh-CN"/>
        </w:rPr>
        <w:t>供应商名称</w:t>
      </w:r>
      <w:r>
        <w:rPr>
          <w:rFonts w:hint="eastAsia" w:ascii="Times New Roman" w:hAnsi="Times New Roman" w:eastAsia="宋体"/>
          <w:color w:val="000000"/>
          <w:sz w:val="24"/>
          <w:szCs w:val="24"/>
          <w:highlight w:val="none"/>
        </w:rPr>
        <w:t>：</w:t>
      </w:r>
      <w:r>
        <w:rPr>
          <w:rFonts w:hint="eastAsia" w:ascii="Times New Roman" w:hAnsi="Times New Roman" w:eastAsia="宋体"/>
          <w:iCs/>
          <w:color w:val="000000"/>
          <w:sz w:val="24"/>
          <w:szCs w:val="21"/>
          <w:highlight w:val="none"/>
        </w:rPr>
        <w:t>（填写</w:t>
      </w:r>
      <w:r>
        <w:rPr>
          <w:rFonts w:hint="eastAsia" w:ascii="Times New Roman" w:hAnsi="Times New Roman" w:eastAsia="宋体"/>
          <w:iCs/>
          <w:color w:val="000000"/>
          <w:sz w:val="24"/>
          <w:szCs w:val="21"/>
          <w:highlight w:val="none"/>
          <w:lang w:eastAsia="zh-CN"/>
        </w:rPr>
        <w:t>单位</w:t>
      </w:r>
      <w:r>
        <w:rPr>
          <w:rFonts w:hint="eastAsia" w:ascii="Times New Roman" w:hAnsi="Times New Roman" w:eastAsia="宋体"/>
          <w:iCs/>
          <w:color w:val="000000"/>
          <w:sz w:val="24"/>
          <w:szCs w:val="21"/>
          <w:highlight w:val="none"/>
        </w:rPr>
        <w:t>名称并</w:t>
      </w:r>
      <w:r>
        <w:rPr>
          <w:rFonts w:hint="eastAsia" w:ascii="Times New Roman" w:hAnsi="Times New Roman" w:eastAsia="宋体"/>
          <w:iCs/>
          <w:color w:val="000000"/>
          <w:sz w:val="24"/>
          <w:szCs w:val="21"/>
          <w:highlight w:val="none"/>
          <w:lang w:eastAsia="zh-CN"/>
        </w:rPr>
        <w:t>加盖公章</w:t>
      </w:r>
      <w:r>
        <w:rPr>
          <w:rFonts w:hint="eastAsia" w:ascii="Times New Roman" w:hAnsi="Times New Roman" w:eastAsia="宋体"/>
          <w:iCs/>
          <w:color w:val="000000"/>
          <w:sz w:val="24"/>
          <w:szCs w:val="21"/>
          <w:highlight w:val="none"/>
        </w:rPr>
        <w:t>）</w:t>
      </w:r>
    </w:p>
    <w:p>
      <w:pPr>
        <w:pStyle w:val="36"/>
        <w:pageBreakBefore w:val="0"/>
        <w:kinsoku/>
        <w:topLinePunct w:val="0"/>
        <w:bidi w:val="0"/>
        <w:spacing w:line="360" w:lineRule="auto"/>
        <w:rPr>
          <w:rFonts w:hint="eastAsia" w:ascii="Times New Roman" w:hAnsi="Times New Roman" w:eastAsia="宋体"/>
          <w:color w:val="000000"/>
          <w:sz w:val="21"/>
          <w:szCs w:val="21"/>
          <w:highlight w:val="none"/>
        </w:rPr>
      </w:pPr>
    </w:p>
    <w:p>
      <w:pPr>
        <w:pStyle w:val="36"/>
        <w:pageBreakBefore w:val="0"/>
        <w:kinsoku/>
        <w:topLinePunct w:val="0"/>
        <w:bidi w:val="0"/>
        <w:spacing w:line="360" w:lineRule="auto"/>
        <w:rPr>
          <w:rFonts w:hint="eastAsia" w:ascii="Times New Roman" w:hAnsi="Times New Roman" w:eastAsia="宋体"/>
          <w:color w:val="000000"/>
          <w:sz w:val="21"/>
          <w:szCs w:val="21"/>
          <w:highlight w:val="none"/>
        </w:rPr>
      </w:pPr>
    </w:p>
    <w:p>
      <w:pPr>
        <w:pStyle w:val="36"/>
        <w:pageBreakBefore w:val="0"/>
        <w:kinsoku/>
        <w:topLinePunct w:val="0"/>
        <w:bidi w:val="0"/>
        <w:spacing w:line="360" w:lineRule="auto"/>
        <w:ind w:left="3400" w:hanging="3400"/>
        <w:jc w:val="left"/>
        <w:rPr>
          <w:rFonts w:hint="eastAsia" w:ascii="Times New Roman" w:hAnsi="Times New Roman" w:eastAsia="宋体"/>
          <w:color w:val="000000"/>
          <w:sz w:val="24"/>
          <w:szCs w:val="24"/>
          <w:highlight w:val="none"/>
        </w:rPr>
      </w:pPr>
      <w:r>
        <w:rPr>
          <w:rFonts w:hint="eastAsia" w:ascii="Times New Roman" w:hAnsi="Times New Roman" w:eastAsia="宋体"/>
          <w:color w:val="000000"/>
          <w:sz w:val="24"/>
          <w:szCs w:val="24"/>
          <w:highlight w:val="none"/>
        </w:rPr>
        <w:t>法定代表人或授权代表：</w:t>
      </w:r>
      <w:r>
        <w:rPr>
          <w:rFonts w:hint="eastAsia" w:ascii="Times New Roman" w:hAnsi="Times New Roman" w:eastAsia="宋体"/>
          <w:iCs/>
          <w:color w:val="000000"/>
          <w:sz w:val="24"/>
          <w:szCs w:val="21"/>
          <w:highlight w:val="none"/>
        </w:rPr>
        <w:t>（签字或盖章）</w:t>
      </w:r>
    </w:p>
    <w:p>
      <w:pPr>
        <w:pStyle w:val="36"/>
        <w:pageBreakBefore w:val="0"/>
        <w:kinsoku/>
        <w:topLinePunct w:val="0"/>
        <w:bidi w:val="0"/>
        <w:spacing w:line="360" w:lineRule="auto"/>
        <w:rPr>
          <w:rFonts w:hint="eastAsia" w:ascii="Times New Roman" w:hAnsi="Times New Roman" w:eastAsia="宋体"/>
          <w:b/>
          <w:color w:val="000000"/>
          <w:sz w:val="21"/>
          <w:szCs w:val="21"/>
          <w:highlight w:val="none"/>
        </w:rPr>
      </w:pPr>
    </w:p>
    <w:p>
      <w:pPr>
        <w:pStyle w:val="36"/>
        <w:pageBreakBefore w:val="0"/>
        <w:tabs>
          <w:tab w:val="left" w:pos="5040"/>
        </w:tabs>
        <w:kinsoku/>
        <w:topLinePunct w:val="0"/>
        <w:bidi w:val="0"/>
        <w:spacing w:line="360" w:lineRule="auto"/>
        <w:rPr>
          <w:rFonts w:ascii="Times New Roman" w:hAnsi="Times New Roman" w:eastAsia="宋体"/>
          <w:color w:val="000000"/>
          <w:sz w:val="24"/>
          <w:szCs w:val="24"/>
          <w:highlight w:val="none"/>
        </w:rPr>
      </w:pPr>
      <w:r>
        <w:rPr>
          <w:rFonts w:hint="eastAsia" w:ascii="Times New Roman" w:hAnsi="Times New Roman" w:eastAsia="宋体"/>
          <w:color w:val="000000"/>
          <w:sz w:val="24"/>
          <w:szCs w:val="24"/>
          <w:highlight w:val="none"/>
        </w:rPr>
        <w:t>地址：</w:t>
      </w:r>
      <w:r>
        <w:rPr>
          <w:rFonts w:hint="eastAsia" w:ascii="Times New Roman" w:hAnsi="Times New Roman" w:eastAsia="宋体"/>
          <w:color w:val="000000"/>
          <w:sz w:val="24"/>
          <w:szCs w:val="24"/>
          <w:highlight w:val="none"/>
        </w:rPr>
        <w:tab/>
      </w:r>
      <w:r>
        <w:rPr>
          <w:rFonts w:hint="eastAsia" w:ascii="Times New Roman" w:hAnsi="Times New Roman" w:eastAsia="宋体"/>
          <w:color w:val="000000"/>
          <w:sz w:val="24"/>
          <w:szCs w:val="24"/>
          <w:highlight w:val="none"/>
        </w:rPr>
        <w:t>邮政编码：</w:t>
      </w:r>
    </w:p>
    <w:p>
      <w:pPr>
        <w:pStyle w:val="36"/>
        <w:pageBreakBefore w:val="0"/>
        <w:tabs>
          <w:tab w:val="left" w:pos="5040"/>
        </w:tabs>
        <w:kinsoku/>
        <w:topLinePunct w:val="0"/>
        <w:bidi w:val="0"/>
        <w:spacing w:line="360" w:lineRule="auto"/>
        <w:rPr>
          <w:rFonts w:ascii="Times New Roman" w:hAnsi="Times New Roman" w:eastAsia="宋体"/>
          <w:color w:val="000000"/>
          <w:sz w:val="24"/>
          <w:szCs w:val="24"/>
          <w:highlight w:val="none"/>
        </w:rPr>
      </w:pPr>
      <w:r>
        <w:rPr>
          <w:rFonts w:hint="eastAsia" w:ascii="Times New Roman" w:hAnsi="Times New Roman" w:eastAsia="宋体"/>
          <w:color w:val="000000"/>
          <w:sz w:val="24"/>
          <w:szCs w:val="24"/>
          <w:highlight w:val="none"/>
        </w:rPr>
        <w:t>联系人：</w:t>
      </w:r>
      <w:r>
        <w:rPr>
          <w:rFonts w:hint="eastAsia" w:ascii="Times New Roman" w:hAnsi="Times New Roman" w:eastAsia="宋体"/>
          <w:color w:val="000000"/>
          <w:sz w:val="24"/>
          <w:szCs w:val="24"/>
          <w:highlight w:val="none"/>
        </w:rPr>
        <w:tab/>
      </w:r>
      <w:r>
        <w:rPr>
          <w:rFonts w:hint="eastAsia" w:ascii="Times New Roman" w:hAnsi="Times New Roman" w:eastAsia="宋体"/>
          <w:color w:val="000000"/>
          <w:sz w:val="24"/>
          <w:szCs w:val="24"/>
          <w:highlight w:val="none"/>
        </w:rPr>
        <w:t>联系电话：</w:t>
      </w:r>
    </w:p>
    <w:p>
      <w:pPr>
        <w:pStyle w:val="36"/>
        <w:pageBreakBefore w:val="0"/>
        <w:tabs>
          <w:tab w:val="left" w:pos="5040"/>
        </w:tabs>
        <w:kinsoku/>
        <w:topLinePunct w:val="0"/>
        <w:bidi w:val="0"/>
        <w:spacing w:line="360" w:lineRule="auto"/>
        <w:rPr>
          <w:rFonts w:hint="eastAsia" w:ascii="Times New Roman" w:hAnsi="Times New Roman" w:eastAsia="宋体"/>
          <w:color w:val="000000"/>
          <w:sz w:val="24"/>
          <w:szCs w:val="24"/>
          <w:highlight w:val="none"/>
        </w:rPr>
      </w:pPr>
      <w:r>
        <w:rPr>
          <w:rFonts w:hint="eastAsia" w:ascii="Times New Roman" w:hAnsi="Times New Roman" w:eastAsia="宋体"/>
          <w:color w:val="000000"/>
          <w:sz w:val="24"/>
          <w:szCs w:val="24"/>
          <w:highlight w:val="none"/>
        </w:rPr>
        <w:t>电子邮件：</w:t>
      </w:r>
      <w:r>
        <w:rPr>
          <w:rFonts w:hint="eastAsia" w:ascii="Times New Roman" w:hAnsi="Times New Roman" w:eastAsia="宋体"/>
          <w:color w:val="000000"/>
          <w:sz w:val="24"/>
          <w:szCs w:val="24"/>
          <w:highlight w:val="none"/>
        </w:rPr>
        <w:tab/>
      </w:r>
      <w:r>
        <w:rPr>
          <w:rFonts w:hint="eastAsia" w:ascii="Times New Roman" w:hAnsi="Times New Roman" w:eastAsia="宋体"/>
          <w:color w:val="000000"/>
          <w:sz w:val="24"/>
          <w:szCs w:val="24"/>
          <w:highlight w:val="none"/>
        </w:rPr>
        <w:t>传真：</w:t>
      </w:r>
    </w:p>
    <w:p>
      <w:pPr>
        <w:pStyle w:val="36"/>
        <w:pageBreakBefore w:val="0"/>
        <w:kinsoku/>
        <w:topLinePunct w:val="0"/>
        <w:bidi w:val="0"/>
        <w:spacing w:line="360" w:lineRule="auto"/>
        <w:rPr>
          <w:rFonts w:hint="eastAsia" w:ascii="Times New Roman" w:hAnsi="Times New Roman" w:eastAsia="宋体"/>
          <w:color w:val="000000"/>
          <w:sz w:val="21"/>
          <w:szCs w:val="21"/>
          <w:highlight w:val="none"/>
        </w:rPr>
      </w:pPr>
    </w:p>
    <w:p>
      <w:pPr>
        <w:pStyle w:val="36"/>
        <w:pageBreakBefore w:val="0"/>
        <w:kinsoku/>
        <w:topLinePunct w:val="0"/>
        <w:bidi w:val="0"/>
        <w:spacing w:line="360" w:lineRule="auto"/>
        <w:rPr>
          <w:rFonts w:hint="eastAsia" w:ascii="Times New Roman" w:hAnsi="Times New Roman" w:eastAsia="宋体"/>
          <w:color w:val="000000"/>
          <w:sz w:val="21"/>
          <w:szCs w:val="21"/>
          <w:highlight w:val="none"/>
        </w:rPr>
      </w:pPr>
    </w:p>
    <w:p>
      <w:pPr>
        <w:pStyle w:val="36"/>
        <w:pageBreakBefore w:val="0"/>
        <w:kinsoku/>
        <w:topLinePunct w:val="0"/>
        <w:bidi w:val="0"/>
        <w:spacing w:line="360" w:lineRule="auto"/>
        <w:rPr>
          <w:rFonts w:hint="eastAsia" w:ascii="Times New Roman" w:hAnsi="Times New Roman" w:eastAsia="宋体"/>
          <w:color w:val="000000"/>
          <w:sz w:val="21"/>
          <w:szCs w:val="21"/>
          <w:highlight w:val="none"/>
        </w:rPr>
      </w:pPr>
    </w:p>
    <w:p>
      <w:pPr>
        <w:pStyle w:val="36"/>
        <w:pageBreakBefore w:val="0"/>
        <w:kinsoku/>
        <w:topLinePunct w:val="0"/>
        <w:bidi w:val="0"/>
        <w:spacing w:line="360" w:lineRule="auto"/>
        <w:rPr>
          <w:rFonts w:hint="eastAsia" w:ascii="Times New Roman" w:hAnsi="Times New Roman" w:eastAsia="宋体"/>
          <w:color w:val="000000"/>
          <w:sz w:val="24"/>
          <w:szCs w:val="24"/>
          <w:highlight w:val="none"/>
        </w:rPr>
        <w:sectPr>
          <w:pgSz w:w="11906" w:h="16838"/>
          <w:pgMar w:top="1247" w:right="1247" w:bottom="1134" w:left="1644" w:header="851" w:footer="850" w:gutter="0"/>
          <w:pgNumType w:fmt="decimal"/>
          <w:cols w:space="708" w:num="1"/>
          <w:docGrid w:type="lines" w:linePitch="321" w:charSpace="0"/>
        </w:sectPr>
      </w:pPr>
      <w:r>
        <w:rPr>
          <w:rFonts w:hint="eastAsia" w:ascii="Times New Roman" w:hAnsi="Times New Roman" w:eastAsia="宋体"/>
          <w:color w:val="000000"/>
          <w:sz w:val="24"/>
          <w:szCs w:val="24"/>
          <w:highlight w:val="none"/>
        </w:rPr>
        <w:t>日期：      年     月     日</w:t>
      </w:r>
    </w:p>
    <w:p>
      <w:pPr>
        <w:pStyle w:val="2"/>
        <w:keepNext w:val="0"/>
        <w:keepLines w:val="0"/>
        <w:pageBreakBefore w:val="0"/>
        <w:numPr>
          <w:ilvl w:val="1"/>
          <w:numId w:val="8"/>
        </w:numPr>
        <w:tabs>
          <w:tab w:val="left" w:pos="540"/>
          <w:tab w:val="left" w:pos="720"/>
          <w:tab w:val="clear" w:pos="840"/>
        </w:tabs>
        <w:kinsoku/>
        <w:topLinePunct w:val="0"/>
        <w:bidi w:val="0"/>
        <w:spacing w:before="156" w:beforeLines="50" w:beforeAutospacing="0" w:after="156" w:afterLines="50" w:afterAutospacing="0" w:line="360" w:lineRule="auto"/>
        <w:ind w:left="0" w:firstLine="0"/>
        <w:jc w:val="center"/>
        <w:rPr>
          <w:rFonts w:hint="eastAsia"/>
          <w:color w:val="000000"/>
          <w:highlight w:val="none"/>
        </w:rPr>
      </w:pPr>
      <w:bookmarkStart w:id="188" w:name="_Toc10660"/>
      <w:bookmarkStart w:id="189" w:name="_Toc23367"/>
      <w:bookmarkStart w:id="190" w:name="_Toc317237632"/>
      <w:r>
        <w:rPr>
          <w:rFonts w:hint="eastAsia" w:ascii="Times New Roman" w:hAnsi="Times New Roman" w:eastAsia="宋体"/>
          <w:color w:val="000000"/>
          <w:sz w:val="32"/>
          <w:highlight w:val="none"/>
        </w:rPr>
        <w:t>报价一览表格式</w:t>
      </w:r>
      <w:bookmarkEnd w:id="188"/>
      <w:bookmarkEnd w:id="189"/>
      <w:bookmarkEnd w:id="190"/>
    </w:p>
    <w:p>
      <w:pPr>
        <w:pStyle w:val="6"/>
        <w:pageBreakBefore w:val="0"/>
        <w:kinsoku/>
        <w:overflowPunct w:val="0"/>
        <w:topLinePunct w:val="0"/>
        <w:bidi w:val="0"/>
        <w:spacing w:line="360" w:lineRule="auto"/>
        <w:ind w:firstLine="0"/>
        <w:jc w:val="center"/>
        <w:rPr>
          <w:rFonts w:hint="eastAsia" w:eastAsia="宋体"/>
          <w:color w:val="000000"/>
          <w:sz w:val="21"/>
          <w:szCs w:val="21"/>
          <w:highlight w:val="none"/>
        </w:rPr>
      </w:pPr>
      <w:r>
        <w:rPr>
          <w:rFonts w:hint="eastAsia" w:eastAsia="宋体"/>
          <w:b/>
          <w:color w:val="000000"/>
          <w:sz w:val="36"/>
          <w:szCs w:val="36"/>
          <w:highlight w:val="none"/>
        </w:rPr>
        <w:t>报价一览表</w:t>
      </w:r>
    </w:p>
    <w:p>
      <w:pPr>
        <w:pageBreakBefore w:val="0"/>
        <w:kinsoku/>
        <w:topLinePunct w:val="0"/>
        <w:bidi w:val="0"/>
        <w:spacing w:line="360" w:lineRule="auto"/>
        <w:rPr>
          <w:rFonts w:hint="eastAsia"/>
          <w:color w:val="000000"/>
          <w:sz w:val="24"/>
          <w:highlight w:val="none"/>
        </w:rPr>
      </w:pPr>
      <w:r>
        <w:rPr>
          <w:rFonts w:hint="eastAsia"/>
          <w:color w:val="000000"/>
          <w:sz w:val="24"/>
          <w:highlight w:val="none"/>
        </w:rPr>
        <w:t xml:space="preserve">                                                              金额单位：元</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572"/>
        <w:gridCol w:w="3586"/>
        <w:gridCol w:w="1500"/>
        <w:gridCol w:w="1544"/>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42" w:hRule="atLeast"/>
          <w:jc w:val="center"/>
        </w:trPr>
        <w:tc>
          <w:tcPr>
            <w:tcW w:w="1572" w:type="dxa"/>
            <w:vAlign w:val="center"/>
          </w:tcPr>
          <w:p>
            <w:pPr>
              <w:pageBreakBefore w:val="0"/>
              <w:kinsoku/>
              <w:topLinePunct w:val="0"/>
              <w:bidi w:val="0"/>
              <w:spacing w:line="360" w:lineRule="auto"/>
              <w:ind w:firstLine="240" w:firstLineChars="100"/>
              <w:jc w:val="both"/>
              <w:rPr>
                <w:rFonts w:hint="eastAsia" w:ascii="宋体" w:hAnsi="宋体" w:cs="宋体"/>
                <w:color w:val="000000"/>
                <w:sz w:val="24"/>
                <w:highlight w:val="none"/>
              </w:rPr>
            </w:pPr>
            <w:r>
              <w:rPr>
                <w:rFonts w:hint="eastAsia" w:ascii="宋体" w:hAnsi="宋体" w:cs="宋体"/>
                <w:color w:val="000000"/>
                <w:sz w:val="24"/>
                <w:highlight w:val="none"/>
              </w:rPr>
              <w:t>项目编号</w:t>
            </w:r>
          </w:p>
        </w:tc>
        <w:tc>
          <w:tcPr>
            <w:tcW w:w="3586" w:type="dxa"/>
            <w:vAlign w:val="center"/>
          </w:tcPr>
          <w:p>
            <w:pPr>
              <w:pageBreakBefore w:val="0"/>
              <w:kinsoku/>
              <w:topLinePunct w:val="0"/>
              <w:bidi w:val="0"/>
              <w:spacing w:line="360" w:lineRule="auto"/>
              <w:ind w:firstLine="480"/>
              <w:jc w:val="center"/>
              <w:rPr>
                <w:rFonts w:hint="eastAsia" w:ascii="宋体" w:hAnsi="宋体" w:cs="宋体"/>
                <w:color w:val="000000"/>
                <w:sz w:val="24"/>
                <w:highlight w:val="none"/>
              </w:rPr>
            </w:pPr>
            <w:r>
              <w:rPr>
                <w:rFonts w:hint="eastAsia" w:ascii="宋体" w:hAnsi="宋体" w:cs="宋体"/>
                <w:color w:val="000000"/>
                <w:sz w:val="24"/>
                <w:highlight w:val="none"/>
              </w:rPr>
              <w:t>项目名称</w:t>
            </w:r>
          </w:p>
        </w:tc>
        <w:tc>
          <w:tcPr>
            <w:tcW w:w="1500" w:type="dxa"/>
            <w:vAlign w:val="center"/>
          </w:tcPr>
          <w:p>
            <w:pPr>
              <w:pageBreakBefore w:val="0"/>
              <w:kinsoku/>
              <w:topLinePunct w:val="0"/>
              <w:bidi w:val="0"/>
              <w:spacing w:line="360" w:lineRule="auto"/>
              <w:ind w:firstLine="480"/>
              <w:jc w:val="both"/>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包号</w:t>
            </w:r>
          </w:p>
        </w:tc>
        <w:tc>
          <w:tcPr>
            <w:tcW w:w="1544" w:type="dxa"/>
            <w:vAlign w:val="center"/>
          </w:tcPr>
          <w:p>
            <w:pPr>
              <w:pageBreakBefore w:val="0"/>
              <w:kinsoku/>
              <w:topLinePunct w:val="0"/>
              <w:bidi w:val="0"/>
              <w:spacing w:line="360" w:lineRule="auto"/>
              <w:ind w:left="960" w:hanging="960" w:hangingChars="400"/>
              <w:jc w:val="center"/>
              <w:rPr>
                <w:rFonts w:hint="eastAsia" w:ascii="宋体" w:hAnsi="宋体" w:cs="宋体"/>
                <w:color w:val="000000"/>
                <w:sz w:val="24"/>
                <w:highlight w:val="none"/>
              </w:rPr>
            </w:pPr>
            <w:r>
              <w:rPr>
                <w:rFonts w:hint="eastAsia" w:ascii="宋体" w:hAnsi="宋体" w:cs="宋体"/>
                <w:color w:val="000000"/>
                <w:sz w:val="24"/>
                <w:highlight w:val="none"/>
              </w:rPr>
              <w:t>施工工期</w:t>
            </w:r>
          </w:p>
        </w:tc>
        <w:tc>
          <w:tcPr>
            <w:tcW w:w="1202" w:type="dxa"/>
            <w:vAlign w:val="center"/>
          </w:tcPr>
          <w:p>
            <w:pPr>
              <w:pageBreakBefore w:val="0"/>
              <w:kinsoku/>
              <w:topLinePunct w:val="0"/>
              <w:bidi w:val="0"/>
              <w:spacing w:line="360" w:lineRule="auto"/>
              <w:rPr>
                <w:rFonts w:hint="eastAsia" w:ascii="宋体" w:hAnsi="宋体" w:cs="宋体"/>
                <w:color w:val="000000"/>
                <w:sz w:val="24"/>
                <w:highlight w:val="none"/>
              </w:rPr>
            </w:pPr>
            <w:r>
              <w:rPr>
                <w:rFonts w:hint="eastAsia" w:ascii="宋体" w:hAnsi="宋体" w:cs="宋体"/>
                <w:color w:val="000000"/>
                <w:sz w:val="24"/>
                <w:highlight w:val="none"/>
              </w:rPr>
              <w:t>其他声明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3" w:hRule="atLeast"/>
          <w:jc w:val="center"/>
        </w:trPr>
        <w:tc>
          <w:tcPr>
            <w:tcW w:w="1572" w:type="dxa"/>
            <w:vAlign w:val="center"/>
          </w:tcPr>
          <w:p>
            <w:pPr>
              <w:pageBreakBefore w:val="0"/>
              <w:kinsoku/>
              <w:topLinePunct w:val="0"/>
              <w:bidi w:val="0"/>
              <w:spacing w:line="360" w:lineRule="auto"/>
              <w:ind w:firstLine="400"/>
              <w:jc w:val="center"/>
              <w:rPr>
                <w:rFonts w:hint="eastAsia" w:ascii="宋体" w:hAnsi="宋体" w:cs="宋体"/>
                <w:color w:val="000000"/>
                <w:sz w:val="24"/>
                <w:highlight w:val="none"/>
              </w:rPr>
            </w:pPr>
            <w:r>
              <w:rPr>
                <w:rFonts w:hint="eastAsia" w:ascii="宋体" w:hAnsi="宋体" w:cs="宋体"/>
                <w:color w:val="000000"/>
                <w:sz w:val="24"/>
                <w:highlight w:val="none"/>
              </w:rPr>
              <w:t xml:space="preserve"> </w:t>
            </w:r>
          </w:p>
        </w:tc>
        <w:tc>
          <w:tcPr>
            <w:tcW w:w="3586" w:type="dxa"/>
            <w:vAlign w:val="center"/>
          </w:tcPr>
          <w:p>
            <w:pPr>
              <w:pageBreakBefore w:val="0"/>
              <w:widowControl/>
              <w:kinsoku/>
              <w:topLinePunct w:val="0"/>
              <w:bidi w:val="0"/>
              <w:spacing w:line="360" w:lineRule="auto"/>
              <w:ind w:firstLine="480"/>
              <w:jc w:val="center"/>
              <w:rPr>
                <w:rFonts w:hint="eastAsia" w:ascii="宋体" w:hAnsi="宋体" w:cs="宋体"/>
                <w:color w:val="000000"/>
                <w:sz w:val="24"/>
                <w:highlight w:val="none"/>
              </w:rPr>
            </w:pPr>
          </w:p>
        </w:tc>
        <w:tc>
          <w:tcPr>
            <w:tcW w:w="1500" w:type="dxa"/>
            <w:vAlign w:val="center"/>
          </w:tcPr>
          <w:p>
            <w:pPr>
              <w:pageBreakBefore w:val="0"/>
              <w:widowControl/>
              <w:kinsoku/>
              <w:topLinePunct w:val="0"/>
              <w:bidi w:val="0"/>
              <w:spacing w:line="360" w:lineRule="auto"/>
              <w:ind w:firstLine="480"/>
              <w:jc w:val="center"/>
              <w:rPr>
                <w:rFonts w:hint="eastAsia" w:ascii="宋体" w:hAnsi="宋体" w:cs="宋体"/>
                <w:color w:val="000000"/>
                <w:sz w:val="24"/>
                <w:highlight w:val="none"/>
              </w:rPr>
            </w:pPr>
          </w:p>
        </w:tc>
        <w:tc>
          <w:tcPr>
            <w:tcW w:w="1544" w:type="dxa"/>
          </w:tcPr>
          <w:p>
            <w:pPr>
              <w:pageBreakBefore w:val="0"/>
              <w:widowControl/>
              <w:kinsoku/>
              <w:topLinePunct w:val="0"/>
              <w:bidi w:val="0"/>
              <w:spacing w:line="360" w:lineRule="auto"/>
              <w:ind w:firstLine="480"/>
              <w:jc w:val="center"/>
              <w:rPr>
                <w:rFonts w:hint="eastAsia" w:ascii="宋体" w:hAnsi="宋体" w:cs="宋体"/>
                <w:color w:val="000000"/>
                <w:sz w:val="24"/>
                <w:highlight w:val="none"/>
              </w:rPr>
            </w:pPr>
          </w:p>
        </w:tc>
        <w:tc>
          <w:tcPr>
            <w:tcW w:w="1202" w:type="dxa"/>
          </w:tcPr>
          <w:p>
            <w:pPr>
              <w:pageBreakBefore w:val="0"/>
              <w:widowControl/>
              <w:kinsoku/>
              <w:topLinePunct w:val="0"/>
              <w:bidi w:val="0"/>
              <w:spacing w:line="360" w:lineRule="auto"/>
              <w:ind w:firstLine="480"/>
              <w:jc w:val="center"/>
              <w:rPr>
                <w:rFonts w:hint="eastAsia"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3" w:hRule="atLeast"/>
          <w:jc w:val="center"/>
        </w:trPr>
        <w:tc>
          <w:tcPr>
            <w:tcW w:w="9404" w:type="dxa"/>
            <w:gridSpan w:val="5"/>
            <w:vAlign w:val="center"/>
          </w:tcPr>
          <w:p>
            <w:pPr>
              <w:pageBreakBefore w:val="0"/>
              <w:kinsoku/>
              <w:topLinePunct w:val="0"/>
              <w:bidi w:val="0"/>
              <w:spacing w:line="360" w:lineRule="auto"/>
              <w:ind w:firstLine="480"/>
              <w:rPr>
                <w:rFonts w:hint="eastAsia" w:ascii="宋体" w:hAnsi="宋体" w:cs="宋体"/>
                <w:color w:val="000000"/>
                <w:sz w:val="24"/>
                <w:highlight w:val="none"/>
              </w:rPr>
            </w:pPr>
            <w:r>
              <w:rPr>
                <w:rFonts w:hint="eastAsia" w:ascii="宋体" w:hAnsi="宋体" w:cs="宋体"/>
                <w:color w:val="000000"/>
                <w:sz w:val="24"/>
                <w:highlight w:val="none"/>
              </w:rPr>
              <w:t>投标总价：人民币大写</w:t>
            </w:r>
            <w:r>
              <w:rPr>
                <w:rFonts w:hint="eastAsia" w:ascii="宋体" w:hAnsi="宋体" w:cs="宋体"/>
                <w:color w:val="000000"/>
                <w:sz w:val="24"/>
                <w:highlight w:val="none"/>
                <w:u w:val="single"/>
              </w:rPr>
              <w:t xml:space="preserve">                         （￥          ）。</w:t>
            </w:r>
          </w:p>
          <w:p>
            <w:pPr>
              <w:pageBreakBefore w:val="0"/>
              <w:kinsoku/>
              <w:topLinePunct w:val="0"/>
              <w:bidi w:val="0"/>
              <w:spacing w:line="360" w:lineRule="auto"/>
              <w:ind w:firstLine="420" w:firstLineChars="200"/>
              <w:rPr>
                <w:rFonts w:ascii="宋体" w:hAnsi="宋体" w:cs="宋体"/>
                <w:color w:val="000000"/>
                <w:szCs w:val="21"/>
                <w:highlight w:val="none"/>
                <w:lang w:val="en-GB"/>
              </w:rPr>
            </w:pPr>
            <w:r>
              <w:rPr>
                <w:rFonts w:hint="eastAsia" w:ascii="宋体" w:hAnsi="宋体" w:cs="宋体"/>
                <w:color w:val="000000"/>
                <w:szCs w:val="21"/>
                <w:highlight w:val="none"/>
                <w:lang w:val="en-GB"/>
              </w:rPr>
              <w:t>1、投标一览表应准确填写，若投标一览表与投标文件不符时，以投标一览表为准；</w:t>
            </w:r>
          </w:p>
          <w:p>
            <w:pPr>
              <w:pageBreakBefore w:val="0"/>
              <w:kinsoku/>
              <w:topLinePunct w:val="0"/>
              <w:bidi w:val="0"/>
              <w:spacing w:line="360" w:lineRule="auto"/>
              <w:ind w:firstLine="420" w:firstLineChars="200"/>
              <w:rPr>
                <w:rFonts w:ascii="宋体" w:hAnsi="宋体" w:cs="宋体"/>
                <w:color w:val="000000"/>
                <w:szCs w:val="21"/>
                <w:highlight w:val="none"/>
                <w:lang w:val="en-GB"/>
              </w:rPr>
            </w:pPr>
            <w:r>
              <w:rPr>
                <w:rFonts w:hint="eastAsia" w:ascii="宋体" w:hAnsi="宋体" w:cs="宋体"/>
                <w:color w:val="000000"/>
                <w:szCs w:val="21"/>
                <w:highlight w:val="none"/>
                <w:lang w:val="en-GB"/>
              </w:rPr>
              <w:t>2.报价中必须包含施工工期级保修期全额费用、全额含税发票、雇员费用、合同实施过程中应预见和不可预见费用等。所有价格均应以人民币报价，金额单位为元。</w:t>
            </w:r>
          </w:p>
          <w:p>
            <w:pPr>
              <w:pageBreakBefore w:val="0"/>
              <w:kinsoku/>
              <w:topLinePunct w:val="0"/>
              <w:bidi w:val="0"/>
              <w:spacing w:line="360" w:lineRule="auto"/>
              <w:ind w:firstLine="420" w:firstLineChars="200"/>
              <w:rPr>
                <w:rFonts w:ascii="宋体" w:hAnsi="宋体" w:cs="宋体"/>
                <w:color w:val="000000"/>
                <w:szCs w:val="21"/>
                <w:highlight w:val="none"/>
                <w:lang w:val="en-GB"/>
              </w:rPr>
            </w:pPr>
            <w:r>
              <w:rPr>
                <w:rFonts w:hint="eastAsia" w:ascii="宋体" w:hAnsi="宋体" w:cs="宋体"/>
                <w:color w:val="000000"/>
                <w:szCs w:val="21"/>
                <w:highlight w:val="none"/>
                <w:lang w:val="en-GB"/>
              </w:rPr>
              <w:t>3、在报价表内未有明确列述的项目费用应视为包括在报价之内。</w:t>
            </w:r>
          </w:p>
          <w:p>
            <w:pPr>
              <w:pStyle w:val="39"/>
              <w:pageBreakBefore w:val="0"/>
              <w:kinsoku/>
              <w:topLinePunct w:val="0"/>
              <w:bidi w:val="0"/>
              <w:spacing w:line="360" w:lineRule="auto"/>
              <w:ind w:firstLine="420" w:firstLineChars="200"/>
              <w:rPr>
                <w:rFonts w:hint="eastAsia" w:ascii="宋体" w:hAnsi="宋体" w:cs="宋体"/>
                <w:color w:val="000000"/>
                <w:highlight w:val="none"/>
                <w:lang w:val="en-GB"/>
              </w:rPr>
            </w:pPr>
            <w:r>
              <w:rPr>
                <w:rFonts w:hint="eastAsia" w:ascii="宋体" w:hAnsi="宋体" w:cs="宋体"/>
                <w:color w:val="000000"/>
                <w:highlight w:val="none"/>
                <w:lang w:val="en-GB"/>
              </w:rPr>
              <w:t>4.此表是响应文件的必要文件，是响应文件的组成部分。</w:t>
            </w:r>
          </w:p>
          <w:p>
            <w:pPr>
              <w:pStyle w:val="39"/>
              <w:pageBreakBefore w:val="0"/>
              <w:kinsoku/>
              <w:topLinePunct w:val="0"/>
              <w:bidi w:val="0"/>
              <w:spacing w:line="360" w:lineRule="auto"/>
              <w:ind w:firstLine="420" w:firstLineChars="200"/>
              <w:rPr>
                <w:rFonts w:hint="eastAsia" w:ascii="宋体" w:hAnsi="宋体" w:cs="宋体"/>
                <w:color w:val="000000"/>
                <w:sz w:val="24"/>
                <w:highlight w:val="none"/>
              </w:rPr>
            </w:pPr>
            <w:r>
              <w:rPr>
                <w:rFonts w:hint="eastAsia" w:ascii="宋体" w:hAnsi="宋体" w:cs="宋体"/>
                <w:color w:val="000000"/>
                <w:highlight w:val="none"/>
                <w:lang w:val="en-GB"/>
              </w:rPr>
              <w:t>5</w:t>
            </w:r>
            <w:r>
              <w:rPr>
                <w:rFonts w:hint="eastAsia" w:ascii="宋体" w:hAnsi="宋体" w:cs="宋体"/>
                <w:color w:val="000000"/>
                <w:highlight w:val="none"/>
              </w:rPr>
              <w:t>.</w:t>
            </w:r>
            <w:r>
              <w:rPr>
                <w:rFonts w:hint="eastAsia"/>
                <w:color w:val="000000"/>
                <w:highlight w:val="none"/>
              </w:rPr>
              <w:t xml:space="preserve"> </w:t>
            </w:r>
            <w:r>
              <w:rPr>
                <w:rFonts w:hint="eastAsia" w:ascii="宋体" w:hAnsi="宋体" w:cs="宋体"/>
                <w:color w:val="000000"/>
                <w:highlight w:val="none"/>
                <w:lang w:val="en-GB"/>
              </w:rPr>
              <w:t>此表为表样，行数可自行添加调整，但表式不变；</w:t>
            </w:r>
          </w:p>
        </w:tc>
      </w:tr>
    </w:tbl>
    <w:p>
      <w:pPr>
        <w:pageBreakBefore w:val="0"/>
        <w:kinsoku/>
        <w:topLinePunct w:val="0"/>
        <w:bidi w:val="0"/>
        <w:spacing w:line="360" w:lineRule="auto"/>
        <w:rPr>
          <w:rFonts w:hint="eastAsia"/>
          <w:color w:val="000000"/>
          <w:sz w:val="24"/>
          <w:highlight w:val="none"/>
        </w:rPr>
      </w:pPr>
    </w:p>
    <w:p>
      <w:pPr>
        <w:pageBreakBefore w:val="0"/>
        <w:kinsoku/>
        <w:topLinePunct w:val="0"/>
        <w:bidi w:val="0"/>
        <w:spacing w:line="360" w:lineRule="auto"/>
        <w:rPr>
          <w:rFonts w:hint="eastAsia"/>
          <w:color w:val="000000"/>
          <w:sz w:val="24"/>
          <w:highlight w:val="none"/>
        </w:rPr>
      </w:pPr>
      <w:r>
        <w:rPr>
          <w:rFonts w:hint="eastAsia"/>
          <w:color w:val="000000"/>
          <w:sz w:val="24"/>
          <w:highlight w:val="none"/>
          <w:lang w:eastAsia="zh-CN"/>
        </w:rPr>
        <w:t>供应商名称</w:t>
      </w:r>
      <w:r>
        <w:rPr>
          <w:rFonts w:hint="eastAsia"/>
          <w:color w:val="000000"/>
          <w:sz w:val="24"/>
          <w:highlight w:val="none"/>
        </w:rPr>
        <w:t>：（填写</w:t>
      </w:r>
      <w:r>
        <w:rPr>
          <w:rFonts w:hint="eastAsia"/>
          <w:color w:val="000000"/>
          <w:sz w:val="24"/>
          <w:highlight w:val="none"/>
          <w:lang w:eastAsia="zh-CN"/>
        </w:rPr>
        <w:t>单位</w:t>
      </w:r>
      <w:r>
        <w:rPr>
          <w:rFonts w:hint="eastAsia"/>
          <w:color w:val="000000"/>
          <w:sz w:val="24"/>
          <w:highlight w:val="none"/>
        </w:rPr>
        <w:t>名称并</w:t>
      </w:r>
      <w:r>
        <w:rPr>
          <w:rFonts w:hint="eastAsia"/>
          <w:color w:val="000000"/>
          <w:sz w:val="24"/>
          <w:highlight w:val="none"/>
          <w:lang w:eastAsia="zh-CN"/>
        </w:rPr>
        <w:t>加盖公章</w:t>
      </w:r>
      <w:r>
        <w:rPr>
          <w:rFonts w:hint="eastAsia"/>
          <w:color w:val="000000"/>
          <w:sz w:val="24"/>
          <w:highlight w:val="none"/>
        </w:rPr>
        <w:t>）</w:t>
      </w:r>
    </w:p>
    <w:p>
      <w:pPr>
        <w:pageBreakBefore w:val="0"/>
        <w:kinsoku/>
        <w:topLinePunct w:val="0"/>
        <w:bidi w:val="0"/>
        <w:spacing w:line="360" w:lineRule="auto"/>
        <w:rPr>
          <w:rFonts w:hint="eastAsia"/>
          <w:iCs/>
          <w:color w:val="000000"/>
          <w:sz w:val="24"/>
          <w:szCs w:val="21"/>
          <w:highlight w:val="none"/>
        </w:rPr>
      </w:pPr>
      <w:r>
        <w:rPr>
          <w:rFonts w:hint="eastAsia"/>
          <w:color w:val="000000"/>
          <w:sz w:val="24"/>
          <w:highlight w:val="none"/>
        </w:rPr>
        <w:t>法定代表人或授权代表签字：</w:t>
      </w:r>
      <w:r>
        <w:rPr>
          <w:rFonts w:hint="eastAsia"/>
          <w:iCs/>
          <w:color w:val="000000"/>
          <w:sz w:val="24"/>
          <w:szCs w:val="21"/>
          <w:highlight w:val="none"/>
        </w:rPr>
        <w:t>（签字或盖章）</w:t>
      </w:r>
    </w:p>
    <w:p>
      <w:pPr>
        <w:pageBreakBefore w:val="0"/>
        <w:kinsoku/>
        <w:topLinePunct w:val="0"/>
        <w:bidi w:val="0"/>
        <w:spacing w:line="360" w:lineRule="auto"/>
        <w:rPr>
          <w:rFonts w:hint="eastAsia"/>
          <w:iCs/>
          <w:color w:val="000000"/>
          <w:sz w:val="24"/>
          <w:szCs w:val="21"/>
          <w:highlight w:val="none"/>
        </w:rPr>
      </w:pPr>
    </w:p>
    <w:p>
      <w:pPr>
        <w:pageBreakBefore w:val="0"/>
        <w:kinsoku/>
        <w:topLinePunct w:val="0"/>
        <w:bidi w:val="0"/>
        <w:spacing w:line="360" w:lineRule="auto"/>
        <w:ind w:firstLine="480" w:firstLineChars="200"/>
        <w:rPr>
          <w:rFonts w:hint="eastAsia"/>
          <w:bCs/>
          <w:color w:val="000000"/>
          <w:sz w:val="24"/>
          <w:highlight w:val="none"/>
        </w:rPr>
      </w:pPr>
    </w:p>
    <w:p>
      <w:pPr>
        <w:keepNext/>
        <w:keepLines/>
        <w:pageBreakBefore w:val="0"/>
        <w:tabs>
          <w:tab w:val="left" w:pos="900"/>
        </w:tabs>
        <w:kinsoku/>
        <w:topLinePunct w:val="0"/>
        <w:bidi w:val="0"/>
        <w:snapToGrid w:val="0"/>
        <w:spacing w:before="260" w:after="260" w:line="360" w:lineRule="auto"/>
        <w:jc w:val="center"/>
        <w:rPr>
          <w:rFonts w:hint="eastAsia" w:ascii="Arial" w:hAnsi="Arial" w:eastAsia="黑体" w:cs="Times New Roman"/>
          <w:color w:val="000000"/>
          <w:sz w:val="30"/>
        </w:rPr>
      </w:pPr>
      <w:r>
        <w:rPr>
          <w:rFonts w:ascii="Times New Roman" w:hAnsi="Times New Roman" w:eastAsia="宋体"/>
          <w:color w:val="000000"/>
          <w:sz w:val="32"/>
          <w:highlight w:val="none"/>
        </w:rPr>
        <w:br w:type="page"/>
      </w:r>
      <w:bookmarkStart w:id="191" w:name="_Toc4820"/>
      <w:bookmarkStart w:id="192" w:name="_Toc2193"/>
      <w:bookmarkStart w:id="193" w:name="_Toc6921"/>
      <w:r>
        <w:rPr>
          <w:rFonts w:hint="eastAsia" w:ascii="Times New Roman" w:hAnsi="Times New Roman" w:eastAsia="宋体"/>
          <w:color w:val="000000"/>
          <w:sz w:val="32"/>
          <w:highlight w:val="none"/>
        </w:rPr>
        <w:t>3、</w:t>
      </w:r>
      <w:bookmarkEnd w:id="191"/>
      <w:bookmarkEnd w:id="192"/>
      <w:bookmarkEnd w:id="193"/>
      <w:r>
        <w:rPr>
          <w:rFonts w:hint="eastAsia" w:ascii="Arial" w:hAnsi="Arial" w:eastAsia="黑体" w:cs="Times New Roman"/>
          <w:color w:val="000000"/>
          <w:sz w:val="30"/>
        </w:rPr>
        <w:t>中小企业声明函（工程、服务）</w:t>
      </w:r>
    </w:p>
    <w:p>
      <w:pPr>
        <w:pageBreakBefore w:val="0"/>
        <w:numPr>
          <w:ilvl w:val="0"/>
          <w:numId w:val="0"/>
        </w:numPr>
        <w:kinsoku/>
        <w:topLinePunct w:val="0"/>
        <w:bidi w:val="0"/>
        <w:snapToGrid w:val="0"/>
        <w:spacing w:line="360" w:lineRule="auto"/>
        <w:ind w:firstLine="504" w:firstLineChars="200"/>
        <w:jc w:val="left"/>
        <w:rPr>
          <w:rFonts w:hint="eastAsia" w:ascii="宋体" w:hAnsi="Times New Roman" w:eastAsia="宋体" w:cs="Times New Roman"/>
          <w:color w:val="000000"/>
          <w:spacing w:val="6"/>
          <w:sz w:val="24"/>
        </w:rPr>
      </w:pPr>
      <w:r>
        <w:rPr>
          <w:rFonts w:hint="eastAsia" w:ascii="宋体" w:hAnsi="Times New Roman" w:eastAsia="宋体" w:cs="Times New Roman"/>
          <w:color w:val="000000"/>
          <w:spacing w:val="6"/>
          <w:sz w:val="24"/>
        </w:rPr>
        <w:t>本公司（联合体）郑重声明，根据《政府采购促进中小 企业发展管理办法》（财库﹝2020﹞46 号）的规定，本公司</w:t>
      </w:r>
      <w:r>
        <w:rPr>
          <w:rFonts w:hint="eastAsia" w:ascii="宋体" w:hAnsi="Times New Roman" w:eastAsia="宋体" w:cs="Times New Roman"/>
          <w:color w:val="000000"/>
          <w:spacing w:val="6"/>
          <w:sz w:val="24"/>
          <w:u w:val="single"/>
          <w:lang w:val="en-US" w:eastAsia="zh-CN"/>
        </w:rPr>
        <w:t xml:space="preserve">       </w:t>
      </w:r>
      <w:r>
        <w:rPr>
          <w:rFonts w:hint="eastAsia" w:ascii="宋体" w:hAnsi="Times New Roman" w:eastAsia="宋体" w:cs="Times New Roman"/>
          <w:color w:val="000000"/>
          <w:spacing w:val="6"/>
          <w:sz w:val="24"/>
        </w:rPr>
        <w:t>参加</w:t>
      </w:r>
      <w:r>
        <w:rPr>
          <w:rFonts w:hint="eastAsia" w:ascii="宋体" w:hAnsi="Times New Roman" w:eastAsia="宋体" w:cs="Times New Roman"/>
          <w:color w:val="000000"/>
          <w:spacing w:val="6"/>
          <w:sz w:val="24"/>
          <w:u w:val="single"/>
        </w:rPr>
        <w:t>（单位名称）</w:t>
      </w:r>
      <w:r>
        <w:rPr>
          <w:rFonts w:hint="eastAsia" w:ascii="宋体" w:hAnsi="Times New Roman" w:eastAsia="宋体" w:cs="Times New Roman"/>
          <w:color w:val="000000"/>
          <w:spacing w:val="6"/>
          <w:sz w:val="24"/>
        </w:rPr>
        <w:t>的</w:t>
      </w:r>
      <w:r>
        <w:rPr>
          <w:rFonts w:hint="eastAsia" w:ascii="宋体" w:hAnsi="Times New Roman" w:eastAsia="宋体" w:cs="Times New Roman"/>
          <w:color w:val="000000"/>
          <w:spacing w:val="6"/>
          <w:sz w:val="24"/>
          <w:u w:val="single"/>
        </w:rPr>
        <w:t>（项目名称）</w:t>
      </w:r>
      <w:r>
        <w:rPr>
          <w:rFonts w:hint="eastAsia" w:ascii="宋体" w:hAnsi="Times New Roman" w:eastAsia="宋体" w:cs="Times New Roman"/>
          <w:color w:val="000000"/>
          <w:spacing w:val="6"/>
          <w:sz w:val="24"/>
        </w:rPr>
        <w:t>采购活动，工程的施工单位全部为符合政策要求的中小企业（或者：服务 全部由符合政策要求的中小企业承接）。相关企业（含联合 体中的中小企业、签订分包意向协议的中小企业）的具体情 况如下：</w:t>
      </w:r>
    </w:p>
    <w:p>
      <w:pPr>
        <w:pageBreakBefore w:val="0"/>
        <w:numPr>
          <w:ilvl w:val="0"/>
          <w:numId w:val="0"/>
        </w:numPr>
        <w:kinsoku/>
        <w:topLinePunct w:val="0"/>
        <w:bidi w:val="0"/>
        <w:snapToGrid w:val="0"/>
        <w:spacing w:line="360" w:lineRule="auto"/>
        <w:ind w:firstLine="504" w:firstLineChars="200"/>
        <w:jc w:val="left"/>
        <w:rPr>
          <w:rFonts w:hint="eastAsia" w:ascii="宋体" w:hAnsi="Times New Roman" w:eastAsia="宋体" w:cs="Times New Roman"/>
          <w:color w:val="000000"/>
          <w:spacing w:val="6"/>
          <w:sz w:val="24"/>
        </w:rPr>
      </w:pPr>
      <w:r>
        <w:rPr>
          <w:rFonts w:hint="eastAsia" w:ascii="宋体" w:hAnsi="Times New Roman" w:eastAsia="宋体" w:cs="Times New Roman"/>
          <w:color w:val="000000"/>
          <w:spacing w:val="6"/>
          <w:sz w:val="24"/>
        </w:rPr>
        <w:t xml:space="preserve"> 1. </w:t>
      </w:r>
      <w:r>
        <w:rPr>
          <w:rFonts w:hint="eastAsia" w:ascii="宋体" w:hAnsi="Times New Roman" w:eastAsia="宋体" w:cs="Times New Roman"/>
          <w:color w:val="000000"/>
          <w:spacing w:val="6"/>
          <w:sz w:val="24"/>
          <w:u w:val="single"/>
        </w:rPr>
        <w:t>（</w:t>
      </w:r>
      <w:r>
        <w:rPr>
          <w:rFonts w:hint="eastAsia" w:ascii="宋体" w:hAnsi="Times New Roman" w:eastAsia="宋体" w:cs="Times New Roman"/>
          <w:color w:val="000000"/>
          <w:spacing w:val="6"/>
          <w:sz w:val="24"/>
          <w:u w:val="single"/>
          <w:lang w:eastAsia="zh-CN"/>
        </w:rPr>
        <w:t>项目</w:t>
      </w:r>
      <w:r>
        <w:rPr>
          <w:rFonts w:hint="eastAsia" w:ascii="宋体" w:hAnsi="Times New Roman" w:eastAsia="宋体" w:cs="Times New Roman"/>
          <w:color w:val="000000"/>
          <w:spacing w:val="6"/>
          <w:sz w:val="24"/>
          <w:u w:val="single"/>
        </w:rPr>
        <w:t>的名称）</w:t>
      </w:r>
      <w:r>
        <w:rPr>
          <w:rFonts w:hint="eastAsia" w:ascii="宋体" w:hAnsi="Times New Roman" w:eastAsia="宋体" w:cs="Times New Roman"/>
          <w:color w:val="000000"/>
          <w:spacing w:val="6"/>
          <w:sz w:val="24"/>
        </w:rPr>
        <w:t xml:space="preserve"> ，属于（</w:t>
      </w:r>
      <w:r>
        <w:rPr>
          <w:rFonts w:hint="eastAsia" w:ascii="宋体" w:hAnsi="Times New Roman" w:eastAsia="宋体" w:cs="Times New Roman"/>
          <w:color w:val="000000"/>
          <w:spacing w:val="6"/>
          <w:sz w:val="24"/>
          <w:u w:val="single"/>
        </w:rPr>
        <w:t>采购文件中明确的所属行业）</w:t>
      </w:r>
      <w:r>
        <w:rPr>
          <w:rFonts w:hint="eastAsia" w:ascii="宋体" w:hAnsi="Times New Roman" w:eastAsia="宋体" w:cs="Times New Roman"/>
          <w:color w:val="000000"/>
          <w:spacing w:val="6"/>
          <w:sz w:val="24"/>
        </w:rPr>
        <w:t>； 承建（承接）企业为</w:t>
      </w:r>
      <w:r>
        <w:rPr>
          <w:rFonts w:hint="eastAsia" w:ascii="宋体" w:hAnsi="Times New Roman" w:eastAsia="宋体" w:cs="Times New Roman"/>
          <w:color w:val="000000"/>
          <w:spacing w:val="6"/>
          <w:sz w:val="24"/>
          <w:u w:val="single"/>
        </w:rPr>
        <w:t>（供应商单位名称）</w:t>
      </w:r>
      <w:r>
        <w:rPr>
          <w:rFonts w:hint="eastAsia" w:ascii="宋体" w:hAnsi="Times New Roman" w:eastAsia="宋体" w:cs="Times New Roman"/>
          <w:color w:val="000000"/>
          <w:spacing w:val="6"/>
          <w:sz w:val="24"/>
          <w:u w:val="single"/>
          <w:lang w:val="en-US" w:eastAsia="zh-CN"/>
        </w:rPr>
        <w:t xml:space="preserve"> </w:t>
      </w:r>
      <w:r>
        <w:rPr>
          <w:rFonts w:hint="eastAsia" w:ascii="宋体" w:hAnsi="Times New Roman" w:eastAsia="宋体" w:cs="Times New Roman"/>
          <w:color w:val="000000"/>
          <w:spacing w:val="6"/>
          <w:sz w:val="24"/>
        </w:rPr>
        <w:t>，从业人员</w:t>
      </w:r>
      <w:r>
        <w:rPr>
          <w:rFonts w:hint="eastAsia" w:ascii="宋体" w:hAnsi="Times New Roman" w:eastAsia="宋体" w:cs="Times New Roman"/>
          <w:color w:val="000000"/>
          <w:spacing w:val="6"/>
          <w:sz w:val="24"/>
          <w:u w:val="single"/>
          <w:lang w:val="en-US" w:eastAsia="zh-CN"/>
        </w:rPr>
        <w:t xml:space="preserve">     </w:t>
      </w:r>
      <w:r>
        <w:rPr>
          <w:rFonts w:hint="eastAsia" w:ascii="宋体" w:hAnsi="Times New Roman" w:eastAsia="宋体" w:cs="Times New Roman"/>
          <w:color w:val="000000"/>
          <w:spacing w:val="6"/>
          <w:sz w:val="24"/>
        </w:rPr>
        <w:t>人，营业</w:t>
      </w:r>
      <w:r>
        <w:rPr>
          <w:rFonts w:hint="eastAsia" w:ascii="宋体" w:hAnsi="Times New Roman" w:eastAsia="宋体" w:cs="Times New Roman"/>
          <w:color w:val="000000"/>
          <w:spacing w:val="6"/>
          <w:sz w:val="24"/>
          <w:u w:val="single"/>
          <w:lang w:val="en-US" w:eastAsia="zh-CN"/>
        </w:rPr>
        <w:t xml:space="preserve">      </w:t>
      </w:r>
      <w:r>
        <w:rPr>
          <w:rFonts w:hint="eastAsia" w:ascii="宋体" w:hAnsi="Times New Roman" w:eastAsia="宋体" w:cs="Times New Roman"/>
          <w:color w:val="000000"/>
          <w:spacing w:val="6"/>
          <w:sz w:val="24"/>
        </w:rPr>
        <w:t>收入为</w:t>
      </w:r>
      <w:r>
        <w:rPr>
          <w:rFonts w:hint="eastAsia" w:ascii="宋体" w:hAnsi="Times New Roman" w:eastAsia="宋体" w:cs="Times New Roman"/>
          <w:color w:val="000000"/>
          <w:spacing w:val="6"/>
          <w:sz w:val="24"/>
          <w:u w:val="single"/>
          <w:lang w:val="en-US" w:eastAsia="zh-CN"/>
        </w:rPr>
        <w:t xml:space="preserve">     </w:t>
      </w:r>
      <w:r>
        <w:rPr>
          <w:rFonts w:hint="eastAsia" w:ascii="宋体" w:hAnsi="Times New Roman" w:eastAsia="宋体" w:cs="Times New Roman"/>
          <w:color w:val="000000"/>
          <w:spacing w:val="6"/>
          <w:sz w:val="24"/>
        </w:rPr>
        <w:t>万元，资产总额为</w:t>
      </w:r>
      <w:r>
        <w:rPr>
          <w:rFonts w:hint="eastAsia" w:ascii="宋体" w:hAnsi="Times New Roman" w:eastAsia="宋体" w:cs="Times New Roman"/>
          <w:color w:val="000000"/>
          <w:spacing w:val="6"/>
          <w:sz w:val="24"/>
          <w:u w:val="single"/>
          <w:lang w:val="en-US" w:eastAsia="zh-CN"/>
        </w:rPr>
        <w:t xml:space="preserve">   </w:t>
      </w:r>
      <w:r>
        <w:rPr>
          <w:rFonts w:hint="eastAsia" w:ascii="宋体" w:hAnsi="Times New Roman" w:eastAsia="宋体" w:cs="Times New Roman"/>
          <w:color w:val="000000"/>
          <w:spacing w:val="6"/>
          <w:sz w:val="24"/>
          <w:u w:val="single"/>
        </w:rPr>
        <w:t xml:space="preserve"> </w:t>
      </w:r>
      <w:r>
        <w:rPr>
          <w:rFonts w:hint="eastAsia" w:ascii="宋体" w:hAnsi="Times New Roman" w:eastAsia="宋体" w:cs="Times New Roman"/>
          <w:color w:val="000000"/>
          <w:spacing w:val="6"/>
          <w:sz w:val="24"/>
          <w:u w:val="single"/>
          <w:lang w:val="en-US" w:eastAsia="zh-CN"/>
        </w:rPr>
        <w:t xml:space="preserve"> </w:t>
      </w:r>
      <w:r>
        <w:rPr>
          <w:rFonts w:hint="eastAsia" w:ascii="宋体" w:hAnsi="Times New Roman" w:eastAsia="宋体" w:cs="Times New Roman"/>
          <w:color w:val="000000"/>
          <w:spacing w:val="6"/>
          <w:sz w:val="24"/>
        </w:rPr>
        <w:t>万元 1，属于</w:t>
      </w:r>
      <w:r>
        <w:rPr>
          <w:rFonts w:hint="eastAsia" w:ascii="宋体" w:hAnsi="Times New Roman" w:eastAsia="宋体" w:cs="Times New Roman"/>
          <w:color w:val="000000"/>
          <w:spacing w:val="6"/>
          <w:sz w:val="24"/>
          <w:u w:val="single"/>
        </w:rPr>
        <w:t>（中型企业、 小型企业、微型企业）</w:t>
      </w:r>
      <w:r>
        <w:rPr>
          <w:rFonts w:hint="eastAsia" w:ascii="宋体" w:hAnsi="Times New Roman" w:eastAsia="宋体" w:cs="Times New Roman"/>
          <w:color w:val="000000"/>
          <w:spacing w:val="6"/>
          <w:sz w:val="24"/>
        </w:rPr>
        <w:t>；</w:t>
      </w:r>
    </w:p>
    <w:p>
      <w:pPr>
        <w:pageBreakBefore w:val="0"/>
        <w:numPr>
          <w:ilvl w:val="0"/>
          <w:numId w:val="0"/>
        </w:numPr>
        <w:kinsoku/>
        <w:topLinePunct w:val="0"/>
        <w:bidi w:val="0"/>
        <w:snapToGrid w:val="0"/>
        <w:spacing w:line="360" w:lineRule="auto"/>
        <w:ind w:firstLine="504" w:firstLineChars="200"/>
        <w:jc w:val="left"/>
        <w:rPr>
          <w:rFonts w:hint="eastAsia" w:ascii="宋体" w:hAnsi="Times New Roman" w:eastAsia="宋体" w:cs="Times New Roman"/>
          <w:color w:val="000000"/>
          <w:spacing w:val="6"/>
          <w:sz w:val="24"/>
        </w:rPr>
      </w:pPr>
      <w:r>
        <w:rPr>
          <w:rFonts w:hint="eastAsia" w:ascii="宋体" w:hAnsi="Times New Roman" w:eastAsia="宋体" w:cs="Times New Roman"/>
          <w:color w:val="000000"/>
          <w:spacing w:val="6"/>
          <w:sz w:val="24"/>
        </w:rPr>
        <w:t xml:space="preserve"> 2. </w:t>
      </w:r>
      <w:r>
        <w:rPr>
          <w:rFonts w:hint="eastAsia" w:ascii="宋体" w:hAnsi="Times New Roman" w:eastAsia="宋体" w:cs="Times New Roman"/>
          <w:color w:val="000000"/>
          <w:spacing w:val="6"/>
          <w:sz w:val="24"/>
          <w:u w:val="single"/>
        </w:rPr>
        <w:t>（</w:t>
      </w:r>
      <w:r>
        <w:rPr>
          <w:rFonts w:hint="eastAsia" w:ascii="宋体" w:hAnsi="Times New Roman" w:eastAsia="宋体" w:cs="Times New Roman"/>
          <w:color w:val="000000"/>
          <w:spacing w:val="6"/>
          <w:sz w:val="24"/>
          <w:u w:val="single"/>
          <w:lang w:eastAsia="zh-CN"/>
        </w:rPr>
        <w:t>项目</w:t>
      </w:r>
      <w:r>
        <w:rPr>
          <w:rFonts w:hint="eastAsia" w:ascii="宋体" w:hAnsi="Times New Roman" w:eastAsia="宋体" w:cs="Times New Roman"/>
          <w:color w:val="000000"/>
          <w:spacing w:val="6"/>
          <w:sz w:val="24"/>
          <w:u w:val="single"/>
        </w:rPr>
        <w:t>的名称）</w:t>
      </w:r>
      <w:r>
        <w:rPr>
          <w:rFonts w:hint="eastAsia" w:ascii="宋体" w:hAnsi="Times New Roman" w:eastAsia="宋体" w:cs="Times New Roman"/>
          <w:color w:val="000000"/>
          <w:spacing w:val="6"/>
          <w:sz w:val="24"/>
        </w:rPr>
        <w:t xml:space="preserve"> ，属于</w:t>
      </w:r>
      <w:r>
        <w:rPr>
          <w:rFonts w:hint="eastAsia" w:ascii="宋体" w:hAnsi="Times New Roman" w:eastAsia="宋体" w:cs="Times New Roman"/>
          <w:color w:val="000000"/>
          <w:spacing w:val="6"/>
          <w:sz w:val="24"/>
          <w:u w:val="single"/>
        </w:rPr>
        <w:t>（采购文件中明确的所属行业）</w:t>
      </w:r>
      <w:r>
        <w:rPr>
          <w:rFonts w:hint="eastAsia" w:ascii="宋体" w:hAnsi="Times New Roman" w:eastAsia="宋体" w:cs="Times New Roman"/>
          <w:color w:val="000000"/>
          <w:spacing w:val="6"/>
          <w:sz w:val="24"/>
        </w:rPr>
        <w:t>； 承建（承接）企业为</w:t>
      </w:r>
      <w:r>
        <w:rPr>
          <w:rFonts w:hint="eastAsia" w:ascii="宋体" w:hAnsi="Times New Roman" w:eastAsia="宋体" w:cs="Times New Roman"/>
          <w:color w:val="000000"/>
          <w:spacing w:val="6"/>
          <w:sz w:val="24"/>
          <w:u w:val="single"/>
        </w:rPr>
        <w:t>（供应商单位名称）</w:t>
      </w:r>
      <w:r>
        <w:rPr>
          <w:rFonts w:hint="eastAsia" w:ascii="宋体" w:hAnsi="Times New Roman" w:eastAsia="宋体" w:cs="Times New Roman"/>
          <w:color w:val="000000"/>
          <w:spacing w:val="6"/>
          <w:sz w:val="24"/>
        </w:rPr>
        <w:t>，从业人员</w:t>
      </w:r>
      <w:r>
        <w:rPr>
          <w:rFonts w:hint="eastAsia" w:ascii="宋体" w:hAnsi="Times New Roman" w:eastAsia="宋体" w:cs="Times New Roman"/>
          <w:color w:val="000000"/>
          <w:spacing w:val="6"/>
          <w:sz w:val="24"/>
          <w:u w:val="single"/>
          <w:lang w:val="en-US" w:eastAsia="zh-CN"/>
        </w:rPr>
        <w:t xml:space="preserve">     </w:t>
      </w:r>
      <w:r>
        <w:rPr>
          <w:rFonts w:hint="eastAsia" w:ascii="宋体" w:hAnsi="Times New Roman" w:eastAsia="宋体" w:cs="Times New Roman"/>
          <w:color w:val="000000"/>
          <w:spacing w:val="6"/>
          <w:sz w:val="24"/>
        </w:rPr>
        <w:t>人，营业</w:t>
      </w:r>
      <w:r>
        <w:rPr>
          <w:rFonts w:hint="eastAsia" w:ascii="宋体" w:hAnsi="Times New Roman" w:eastAsia="宋体" w:cs="Times New Roman"/>
          <w:color w:val="000000"/>
          <w:spacing w:val="6"/>
          <w:sz w:val="24"/>
          <w:u w:val="single"/>
          <w:lang w:val="en-US" w:eastAsia="zh-CN"/>
        </w:rPr>
        <w:t xml:space="preserve">    </w:t>
      </w:r>
      <w:r>
        <w:rPr>
          <w:rFonts w:hint="eastAsia" w:ascii="宋体" w:hAnsi="Times New Roman" w:eastAsia="宋体" w:cs="Times New Roman"/>
          <w:color w:val="000000"/>
          <w:spacing w:val="6"/>
          <w:sz w:val="24"/>
          <w:u w:val="single"/>
        </w:rPr>
        <w:t xml:space="preserve"> </w:t>
      </w:r>
      <w:r>
        <w:rPr>
          <w:rFonts w:hint="eastAsia" w:ascii="宋体" w:hAnsi="Times New Roman" w:eastAsia="宋体" w:cs="Times New Roman"/>
          <w:color w:val="000000"/>
          <w:spacing w:val="6"/>
          <w:sz w:val="24"/>
        </w:rPr>
        <w:t>收入为</w:t>
      </w:r>
      <w:r>
        <w:rPr>
          <w:rFonts w:hint="eastAsia" w:ascii="宋体" w:hAnsi="Times New Roman" w:eastAsia="宋体" w:cs="Times New Roman"/>
          <w:color w:val="000000"/>
          <w:spacing w:val="6"/>
          <w:sz w:val="24"/>
          <w:u w:val="single"/>
          <w:lang w:val="en-US" w:eastAsia="zh-CN"/>
        </w:rPr>
        <w:t xml:space="preserve">    </w:t>
      </w:r>
      <w:r>
        <w:rPr>
          <w:rFonts w:hint="eastAsia" w:ascii="宋体" w:hAnsi="Times New Roman" w:eastAsia="宋体" w:cs="Times New Roman"/>
          <w:color w:val="000000"/>
          <w:spacing w:val="6"/>
          <w:sz w:val="24"/>
          <w:u w:val="single"/>
        </w:rPr>
        <w:t xml:space="preserve"> </w:t>
      </w:r>
      <w:r>
        <w:rPr>
          <w:rFonts w:hint="eastAsia" w:ascii="宋体" w:hAnsi="Times New Roman" w:eastAsia="宋体" w:cs="Times New Roman"/>
          <w:color w:val="000000"/>
          <w:spacing w:val="6"/>
          <w:sz w:val="24"/>
        </w:rPr>
        <w:t>万元，资产总额为</w:t>
      </w:r>
      <w:r>
        <w:rPr>
          <w:rFonts w:hint="eastAsia" w:ascii="宋体" w:hAnsi="Times New Roman" w:eastAsia="宋体" w:cs="Times New Roman"/>
          <w:color w:val="000000"/>
          <w:spacing w:val="6"/>
          <w:sz w:val="24"/>
          <w:u w:val="single"/>
          <w:lang w:val="en-US" w:eastAsia="zh-CN"/>
        </w:rPr>
        <w:t xml:space="preserve">     </w:t>
      </w:r>
      <w:r>
        <w:rPr>
          <w:rFonts w:hint="eastAsia" w:ascii="宋体" w:hAnsi="Times New Roman" w:eastAsia="宋体" w:cs="Times New Roman"/>
          <w:color w:val="000000"/>
          <w:spacing w:val="6"/>
          <w:sz w:val="24"/>
          <w:u w:val="single"/>
        </w:rPr>
        <w:t xml:space="preserve"> </w:t>
      </w:r>
      <w:r>
        <w:rPr>
          <w:rFonts w:hint="eastAsia" w:ascii="宋体" w:hAnsi="Times New Roman" w:eastAsia="宋体" w:cs="Times New Roman"/>
          <w:color w:val="000000"/>
          <w:spacing w:val="6"/>
          <w:sz w:val="24"/>
        </w:rPr>
        <w:t>万元，属于</w:t>
      </w:r>
      <w:r>
        <w:rPr>
          <w:rFonts w:hint="eastAsia" w:ascii="宋体" w:hAnsi="Times New Roman" w:eastAsia="宋体" w:cs="Times New Roman"/>
          <w:color w:val="000000"/>
          <w:spacing w:val="6"/>
          <w:sz w:val="24"/>
          <w:u w:val="single"/>
        </w:rPr>
        <w:t>（中型企业、 小型企业、微型企业</w:t>
      </w:r>
      <w:r>
        <w:rPr>
          <w:rFonts w:hint="eastAsia" w:ascii="宋体" w:hAnsi="Times New Roman" w:eastAsia="宋体" w:cs="Times New Roman"/>
          <w:color w:val="000000"/>
          <w:spacing w:val="6"/>
          <w:sz w:val="24"/>
        </w:rPr>
        <w:t>）；</w:t>
      </w:r>
    </w:p>
    <w:p>
      <w:pPr>
        <w:pageBreakBefore w:val="0"/>
        <w:numPr>
          <w:ilvl w:val="0"/>
          <w:numId w:val="0"/>
        </w:numPr>
        <w:kinsoku/>
        <w:topLinePunct w:val="0"/>
        <w:bidi w:val="0"/>
        <w:snapToGrid w:val="0"/>
        <w:spacing w:line="360" w:lineRule="auto"/>
        <w:ind w:firstLine="504" w:firstLineChars="200"/>
        <w:jc w:val="left"/>
        <w:rPr>
          <w:rFonts w:hint="eastAsia" w:ascii="宋体" w:hAnsi="Times New Roman" w:eastAsia="宋体" w:cs="Times New Roman"/>
          <w:color w:val="000000"/>
          <w:spacing w:val="6"/>
          <w:sz w:val="24"/>
        </w:rPr>
      </w:pPr>
      <w:r>
        <w:rPr>
          <w:rFonts w:hint="eastAsia" w:ascii="宋体" w:hAnsi="Times New Roman" w:eastAsia="宋体" w:cs="Times New Roman"/>
          <w:color w:val="000000"/>
          <w:spacing w:val="6"/>
          <w:sz w:val="24"/>
        </w:rPr>
        <w:t xml:space="preserve"> …… </w:t>
      </w:r>
    </w:p>
    <w:p>
      <w:pPr>
        <w:pageBreakBefore w:val="0"/>
        <w:numPr>
          <w:ilvl w:val="0"/>
          <w:numId w:val="0"/>
        </w:numPr>
        <w:kinsoku/>
        <w:topLinePunct w:val="0"/>
        <w:bidi w:val="0"/>
        <w:snapToGrid w:val="0"/>
        <w:spacing w:line="360" w:lineRule="auto"/>
        <w:ind w:firstLine="504" w:firstLineChars="200"/>
        <w:jc w:val="left"/>
        <w:rPr>
          <w:rFonts w:ascii="宋体" w:hAnsi="宋体" w:eastAsia="宋体" w:cs="宋体"/>
          <w:color w:val="000000"/>
          <w:sz w:val="24"/>
          <w:szCs w:val="24"/>
        </w:rPr>
      </w:pPr>
      <w:r>
        <w:rPr>
          <w:rFonts w:hint="eastAsia" w:ascii="宋体" w:hAnsi="Times New Roman" w:eastAsia="宋体" w:cs="Times New Roman"/>
          <w:color w:val="000000"/>
          <w:spacing w:val="6"/>
          <w:sz w:val="24"/>
        </w:rPr>
        <w:t>以上企业</w:t>
      </w:r>
      <w:r>
        <w:rPr>
          <w:rFonts w:hint="eastAsia" w:ascii="宋体" w:hAnsi="Times New Roman" w:eastAsia="宋体" w:cs="Times New Roman"/>
          <w:color w:val="000000"/>
          <w:spacing w:val="6"/>
          <w:sz w:val="24"/>
          <w:lang w:eastAsia="zh-CN"/>
        </w:rPr>
        <w:t>，</w:t>
      </w:r>
      <w:r>
        <w:rPr>
          <w:rFonts w:hint="eastAsia" w:ascii="宋体" w:hAnsi="Times New Roman" w:eastAsia="宋体" w:cs="Times New Roman"/>
          <w:color w:val="000000"/>
          <w:spacing w:val="6"/>
          <w:sz w:val="24"/>
        </w:rPr>
        <w:t>不属于大企业的分支机构，不存在控股股东 为大企业的情形，也不存在与大企业的负责人为同一人的情形。本企业对上述声明内容的真实性负责。如有虚假，将依法承担相应责任。</w:t>
      </w:r>
      <w:r>
        <w:rPr>
          <w:rFonts w:ascii="宋体" w:hAnsi="宋体" w:eastAsia="宋体" w:cs="宋体"/>
          <w:color w:val="000000"/>
          <w:sz w:val="24"/>
          <w:szCs w:val="24"/>
        </w:rPr>
        <w:t xml:space="preserve"> </w:t>
      </w:r>
    </w:p>
    <w:p>
      <w:pPr>
        <w:pageBreakBefore w:val="0"/>
        <w:kinsoku/>
        <w:topLinePunct w:val="0"/>
        <w:bidi w:val="0"/>
        <w:snapToGrid w:val="0"/>
        <w:spacing w:line="360" w:lineRule="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供应商单位名称：                 （加盖公章）</w:t>
      </w:r>
    </w:p>
    <w:p>
      <w:pPr>
        <w:pageBreakBefore w:val="0"/>
        <w:kinsoku/>
        <w:topLinePunct w:val="0"/>
        <w:bidi w:val="0"/>
        <w:snapToGrid w:val="0"/>
        <w:spacing w:line="360" w:lineRule="auto"/>
        <w:ind w:firstLine="2880" w:firstLineChars="1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法定代表人或授权代表：            （签字或盖章）</w:t>
      </w:r>
    </w:p>
    <w:p>
      <w:pPr>
        <w:pageBreakBefore w:val="0"/>
        <w:kinsoku/>
        <w:topLinePunct w:val="0"/>
        <w:bidi w:val="0"/>
        <w:snapToGrid w:val="0"/>
        <w:spacing w:line="360" w:lineRule="auto"/>
        <w:ind w:firstLine="3120" w:firstLineChars="13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日   期：      年     月     日</w:t>
      </w:r>
    </w:p>
    <w:p>
      <w:pPr>
        <w:pageBreakBefore w:val="0"/>
        <w:kinsoku/>
        <w:topLinePunct w:val="0"/>
        <w:bidi w:val="0"/>
        <w:snapToGrid w:val="0"/>
        <w:spacing w:line="360" w:lineRule="auto"/>
        <w:rPr>
          <w:rFonts w:ascii="宋体"/>
          <w:color w:val="000000"/>
          <w:sz w:val="24"/>
        </w:rPr>
      </w:pPr>
      <w:r>
        <w:rPr>
          <w:rFonts w:hint="eastAsia" w:ascii="宋体"/>
          <w:color w:val="000000"/>
          <w:sz w:val="24"/>
        </w:rPr>
        <w:t>注：</w:t>
      </w:r>
    </w:p>
    <w:p>
      <w:pPr>
        <w:pageBreakBefore w:val="0"/>
        <w:kinsoku/>
        <w:topLinePunct w:val="0"/>
        <w:bidi w:val="0"/>
        <w:snapToGrid w:val="0"/>
        <w:spacing w:line="360" w:lineRule="auto"/>
        <w:rPr>
          <w:rFonts w:ascii="宋体"/>
          <w:color w:val="000000"/>
          <w:sz w:val="24"/>
        </w:rPr>
      </w:pPr>
      <w:r>
        <w:rPr>
          <w:rFonts w:ascii="宋体"/>
          <w:color w:val="000000"/>
          <w:sz w:val="24"/>
        </w:rPr>
        <w:t>1</w:t>
      </w:r>
      <w:r>
        <w:rPr>
          <w:rFonts w:hint="eastAsia" w:ascii="宋体"/>
          <w:color w:val="000000"/>
          <w:sz w:val="24"/>
        </w:rPr>
        <w:t>、供应商符合《工业和信息化部、国家统计局、国家发展和改革委员会、财政部关于印发中小企业划型标准规定的通知》（工信部联企业〔</w:t>
      </w:r>
      <w:r>
        <w:rPr>
          <w:rFonts w:ascii="宋体"/>
          <w:color w:val="000000"/>
          <w:sz w:val="24"/>
        </w:rPr>
        <w:t>2011</w:t>
      </w:r>
      <w:r>
        <w:rPr>
          <w:rFonts w:hint="eastAsia" w:ascii="宋体"/>
          <w:color w:val="000000"/>
          <w:sz w:val="24"/>
        </w:rPr>
        <w:t>〕</w:t>
      </w:r>
      <w:r>
        <w:rPr>
          <w:rFonts w:ascii="宋体"/>
          <w:color w:val="000000"/>
          <w:sz w:val="24"/>
        </w:rPr>
        <w:t>300</w:t>
      </w:r>
      <w:r>
        <w:rPr>
          <w:rFonts w:hint="eastAsia" w:ascii="宋体"/>
          <w:color w:val="000000"/>
          <w:sz w:val="24"/>
        </w:rPr>
        <w:t>号）或《政府采购支持监狱企业发展有关问题的通知》（财库〔</w:t>
      </w:r>
      <w:r>
        <w:rPr>
          <w:rFonts w:ascii="宋体"/>
          <w:color w:val="000000"/>
          <w:sz w:val="24"/>
        </w:rPr>
        <w:t>2014</w:t>
      </w:r>
      <w:r>
        <w:rPr>
          <w:rFonts w:hint="eastAsia" w:ascii="宋体"/>
          <w:color w:val="000000"/>
          <w:sz w:val="24"/>
        </w:rPr>
        <w:t>〕</w:t>
      </w:r>
      <w:r>
        <w:rPr>
          <w:rFonts w:ascii="宋体"/>
          <w:color w:val="000000"/>
          <w:sz w:val="24"/>
        </w:rPr>
        <w:t>68</w:t>
      </w:r>
      <w:r>
        <w:rPr>
          <w:rFonts w:hint="eastAsia" w:ascii="宋体"/>
          <w:color w:val="000000"/>
          <w:sz w:val="24"/>
        </w:rPr>
        <w:t>号）规定的划分标准为中小型企业或监狱企业适用。</w:t>
      </w:r>
    </w:p>
    <w:p>
      <w:pPr>
        <w:pageBreakBefore w:val="0"/>
        <w:kinsoku/>
        <w:topLinePunct w:val="0"/>
        <w:bidi w:val="0"/>
        <w:snapToGrid w:val="0"/>
        <w:spacing w:line="360" w:lineRule="auto"/>
        <w:rPr>
          <w:rFonts w:ascii="宋体"/>
          <w:color w:val="000000"/>
          <w:sz w:val="24"/>
        </w:rPr>
      </w:pPr>
      <w:r>
        <w:rPr>
          <w:rFonts w:ascii="宋体"/>
          <w:color w:val="000000"/>
          <w:sz w:val="24"/>
        </w:rPr>
        <w:t>2</w:t>
      </w:r>
      <w:r>
        <w:rPr>
          <w:rFonts w:hint="eastAsia" w:ascii="宋体"/>
          <w:color w:val="000000"/>
          <w:sz w:val="24"/>
        </w:rPr>
        <w:t>、在政府采购活动中，监狱企业视同小型、微型企业，享受预留份额、评审中价格扣除等政府采购促进中小企业发展的政府采购政策。（监狱企业参加政府采购活动时，还应当提供由省级以上监狱管理局、戒毒管理局</w:t>
      </w:r>
      <w:r>
        <w:rPr>
          <w:rFonts w:ascii="宋体"/>
          <w:color w:val="000000"/>
          <w:sz w:val="24"/>
        </w:rPr>
        <w:t>(</w:t>
      </w:r>
      <w:r>
        <w:rPr>
          <w:rFonts w:hint="eastAsia" w:ascii="宋体"/>
          <w:color w:val="000000"/>
          <w:sz w:val="24"/>
        </w:rPr>
        <w:t>含新疆生产建设兵团</w:t>
      </w:r>
      <w:r>
        <w:rPr>
          <w:rFonts w:ascii="宋体"/>
          <w:color w:val="000000"/>
          <w:sz w:val="24"/>
        </w:rPr>
        <w:t>)</w:t>
      </w:r>
      <w:r>
        <w:rPr>
          <w:rFonts w:hint="eastAsia" w:ascii="宋体"/>
          <w:color w:val="000000"/>
          <w:sz w:val="24"/>
        </w:rPr>
        <w:t>出具的属于监狱企业的证明文件。）</w:t>
      </w:r>
    </w:p>
    <w:p>
      <w:pPr>
        <w:pageBreakBefore w:val="0"/>
        <w:kinsoku/>
        <w:topLinePunct w:val="0"/>
        <w:bidi w:val="0"/>
        <w:snapToGrid w:val="0"/>
        <w:spacing w:line="360" w:lineRule="auto"/>
        <w:rPr>
          <w:rFonts w:hint="eastAsia" w:ascii="宋体"/>
          <w:color w:val="000000"/>
          <w:sz w:val="24"/>
        </w:rPr>
        <w:sectPr>
          <w:pgSz w:w="11906" w:h="16838"/>
          <w:pgMar w:top="1304" w:right="1191" w:bottom="1304" w:left="1191" w:header="851" w:footer="992" w:gutter="0"/>
          <w:paperSrc/>
          <w:cols w:space="708" w:num="1"/>
          <w:rtlGutter w:val="0"/>
          <w:docGrid w:type="lines" w:linePitch="312" w:charSpace="0"/>
        </w:sectPr>
      </w:pPr>
      <w:r>
        <w:rPr>
          <w:rFonts w:ascii="宋体"/>
          <w:color w:val="000000"/>
          <w:sz w:val="24"/>
        </w:rPr>
        <w:t>3</w:t>
      </w:r>
      <w:r>
        <w:rPr>
          <w:rFonts w:hint="eastAsia" w:ascii="宋体"/>
          <w:color w:val="000000"/>
          <w:sz w:val="24"/>
        </w:rPr>
        <w:t>、供应商为非企业单位的，可不提供此声明。</w:t>
      </w:r>
    </w:p>
    <w:p>
      <w:pPr>
        <w:pStyle w:val="2"/>
        <w:keepNext w:val="0"/>
        <w:keepLines w:val="0"/>
        <w:pageBreakBefore w:val="0"/>
        <w:tabs>
          <w:tab w:val="left" w:pos="540"/>
          <w:tab w:val="left" w:pos="720"/>
        </w:tabs>
        <w:kinsoku/>
        <w:topLinePunct w:val="0"/>
        <w:bidi w:val="0"/>
        <w:spacing w:before="160" w:beforeLines="50" w:beforeAutospacing="0" w:after="160" w:afterLines="50" w:afterAutospacing="0" w:line="360" w:lineRule="auto"/>
        <w:jc w:val="center"/>
        <w:rPr>
          <w:rFonts w:hint="eastAsia" w:ascii="Times New Roman" w:hAnsi="Times New Roman" w:eastAsia="宋体"/>
          <w:color w:val="000000"/>
          <w:sz w:val="32"/>
          <w:highlight w:val="none"/>
        </w:rPr>
      </w:pPr>
      <w:bookmarkStart w:id="194" w:name="_Toc1829"/>
      <w:bookmarkStart w:id="195" w:name="_Toc20630"/>
      <w:r>
        <w:rPr>
          <w:rFonts w:hint="eastAsia" w:ascii="Times New Roman" w:hAnsi="Times New Roman" w:eastAsia="宋体"/>
          <w:color w:val="000000"/>
          <w:sz w:val="32"/>
          <w:highlight w:val="none"/>
        </w:rPr>
        <w:t>4、残疾人福利性单位声明函</w:t>
      </w:r>
      <w:bookmarkEnd w:id="194"/>
    </w:p>
    <w:p>
      <w:pPr>
        <w:pageBreakBefore w:val="0"/>
        <w:kinsoku/>
        <w:topLinePunct w:val="0"/>
        <w:bidi w:val="0"/>
        <w:spacing w:line="360" w:lineRule="auto"/>
        <w:jc w:val="center"/>
        <w:rPr>
          <w:rFonts w:hint="eastAsia"/>
          <w:b/>
          <w:bCs/>
          <w:color w:val="000000"/>
          <w:sz w:val="32"/>
          <w:highlight w:val="none"/>
        </w:rPr>
      </w:pPr>
      <w:r>
        <w:rPr>
          <w:rFonts w:hint="eastAsia"/>
          <w:b/>
          <w:bCs/>
          <w:color w:val="000000"/>
          <w:sz w:val="32"/>
          <w:highlight w:val="none"/>
        </w:rPr>
        <w:t>残疾人福利性单位声明函</w:t>
      </w:r>
    </w:p>
    <w:p>
      <w:pPr>
        <w:pageBreakBefore w:val="0"/>
        <w:kinsoku/>
        <w:topLinePunct w:val="0"/>
        <w:bidi w:val="0"/>
        <w:spacing w:line="360" w:lineRule="auto"/>
        <w:jc w:val="center"/>
        <w:rPr>
          <w:rFonts w:hint="eastAsia"/>
          <w:b/>
          <w:bCs/>
          <w:color w:val="000000"/>
          <w:sz w:val="32"/>
          <w:highlight w:val="none"/>
        </w:rPr>
      </w:pPr>
    </w:p>
    <w:p>
      <w:pPr>
        <w:pageBreakBefore w:val="0"/>
        <w:kinsoku/>
        <w:topLinePunct w:val="0"/>
        <w:bidi w:val="0"/>
        <w:spacing w:before="160" w:beforeLines="50"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本单位郑重声明，根据《财政部民政部中国残疾人联合会关促进残疾人就业政府采购的通知》（财库〔2017〕141号）的规定，本单位为符合条件的残疾人福利性单位，且本单位参加                   单位的             项目成功活动提供本单位制造的货物（由本单位承担工程/提供服务），或者提供其他残疾人福利性单位制造的货物（不包括使用非残疾人福利性单位注册商标的货物）。</w:t>
      </w:r>
    </w:p>
    <w:p>
      <w:pPr>
        <w:pageBreakBefore w:val="0"/>
        <w:kinsoku/>
        <w:topLinePunct w:val="0"/>
        <w:bidi w:val="0"/>
        <w:spacing w:before="160" w:beforeLines="50"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本单位对上述声明的真实性负责。如有虚假，将依法承担相应责任。</w:t>
      </w:r>
    </w:p>
    <w:p>
      <w:pPr>
        <w:pageBreakBefore w:val="0"/>
        <w:kinsoku/>
        <w:topLinePunct w:val="0"/>
        <w:bidi w:val="0"/>
        <w:spacing w:line="360" w:lineRule="auto"/>
        <w:rPr>
          <w:rFonts w:hint="eastAsia" w:ascii="宋体" w:hAnsi="宋体" w:cs="宋体"/>
          <w:color w:val="000000"/>
          <w:sz w:val="32"/>
          <w:highlight w:val="none"/>
        </w:rPr>
      </w:pPr>
    </w:p>
    <w:p>
      <w:pPr>
        <w:pageBreakBefore w:val="0"/>
        <w:kinsoku/>
        <w:topLinePunct w:val="0"/>
        <w:bidi w:val="0"/>
        <w:spacing w:before="160" w:beforeLines="50"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lang w:eastAsia="zh-CN"/>
        </w:rPr>
        <w:t>供应商名称</w:t>
      </w:r>
      <w:r>
        <w:rPr>
          <w:rFonts w:hint="eastAsia" w:ascii="宋体" w:hAnsi="宋体" w:cs="宋体"/>
          <w:color w:val="000000"/>
          <w:sz w:val="24"/>
          <w:highlight w:val="none"/>
        </w:rPr>
        <w:t>（填写</w:t>
      </w:r>
      <w:r>
        <w:rPr>
          <w:rFonts w:hint="eastAsia" w:ascii="宋体" w:hAnsi="宋体" w:cs="宋体"/>
          <w:color w:val="000000"/>
          <w:sz w:val="24"/>
          <w:highlight w:val="none"/>
          <w:lang w:eastAsia="zh-CN"/>
        </w:rPr>
        <w:t>单位</w:t>
      </w:r>
      <w:r>
        <w:rPr>
          <w:rFonts w:hint="eastAsia" w:ascii="宋体" w:hAnsi="宋体" w:cs="宋体"/>
          <w:color w:val="000000"/>
          <w:sz w:val="24"/>
          <w:highlight w:val="none"/>
        </w:rPr>
        <w:t>名称并</w:t>
      </w:r>
      <w:r>
        <w:rPr>
          <w:rFonts w:hint="eastAsia" w:ascii="宋体" w:hAnsi="宋体" w:cs="宋体"/>
          <w:color w:val="000000"/>
          <w:sz w:val="24"/>
          <w:highlight w:val="none"/>
          <w:lang w:eastAsia="zh-CN"/>
        </w:rPr>
        <w:t>加盖公章</w:t>
      </w:r>
      <w:r>
        <w:rPr>
          <w:rFonts w:hint="eastAsia" w:ascii="宋体" w:hAnsi="宋体" w:cs="宋体"/>
          <w:color w:val="000000"/>
          <w:sz w:val="24"/>
          <w:highlight w:val="none"/>
        </w:rPr>
        <w:t>）：</w:t>
      </w:r>
    </w:p>
    <w:p>
      <w:pPr>
        <w:pageBreakBefore w:val="0"/>
        <w:kinsoku/>
        <w:topLinePunct w:val="0"/>
        <w:bidi w:val="0"/>
        <w:spacing w:before="160" w:beforeLines="50"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日   期：  年   月   日</w:t>
      </w:r>
    </w:p>
    <w:p>
      <w:pPr>
        <w:pageBreakBefore w:val="0"/>
        <w:kinsoku/>
        <w:topLinePunct w:val="0"/>
        <w:bidi w:val="0"/>
        <w:spacing w:line="360" w:lineRule="auto"/>
        <w:rPr>
          <w:rFonts w:hint="eastAsia"/>
          <w:color w:val="000000"/>
          <w:sz w:val="32"/>
          <w:highlight w:val="none"/>
        </w:rPr>
      </w:pPr>
    </w:p>
    <w:p>
      <w:pPr>
        <w:pageBreakBefore w:val="0"/>
        <w:kinsoku/>
        <w:topLinePunct w:val="0"/>
        <w:bidi w:val="0"/>
        <w:spacing w:line="360" w:lineRule="auto"/>
        <w:rPr>
          <w:rFonts w:hint="eastAsia"/>
          <w:color w:val="000000"/>
          <w:sz w:val="32"/>
          <w:highlight w:val="none"/>
        </w:rPr>
      </w:pPr>
    </w:p>
    <w:p>
      <w:pPr>
        <w:pageBreakBefore w:val="0"/>
        <w:kinsoku/>
        <w:topLinePunct w:val="0"/>
        <w:bidi w:val="0"/>
        <w:spacing w:line="360" w:lineRule="auto"/>
        <w:rPr>
          <w:rFonts w:hint="eastAsia"/>
          <w:color w:val="000000"/>
          <w:sz w:val="32"/>
          <w:highlight w:val="none"/>
        </w:rPr>
      </w:pPr>
    </w:p>
    <w:p>
      <w:pPr>
        <w:pageBreakBefore w:val="0"/>
        <w:kinsoku/>
        <w:topLinePunct w:val="0"/>
        <w:bidi w:val="0"/>
        <w:spacing w:line="360" w:lineRule="auto"/>
        <w:rPr>
          <w:rFonts w:hint="eastAsia"/>
          <w:color w:val="000000"/>
          <w:sz w:val="32"/>
          <w:highlight w:val="none"/>
        </w:rPr>
      </w:pPr>
    </w:p>
    <w:p>
      <w:pPr>
        <w:pageBreakBefore w:val="0"/>
        <w:kinsoku/>
        <w:topLinePunct w:val="0"/>
        <w:bidi w:val="0"/>
        <w:spacing w:line="360" w:lineRule="auto"/>
        <w:rPr>
          <w:rFonts w:hint="eastAsia"/>
          <w:color w:val="000000"/>
          <w:sz w:val="32"/>
          <w:highlight w:val="none"/>
        </w:rPr>
      </w:pPr>
    </w:p>
    <w:p>
      <w:pPr>
        <w:pageBreakBefore w:val="0"/>
        <w:kinsoku/>
        <w:topLinePunct w:val="0"/>
        <w:bidi w:val="0"/>
        <w:spacing w:line="360" w:lineRule="auto"/>
        <w:rPr>
          <w:rFonts w:hint="eastAsia"/>
          <w:color w:val="000000"/>
          <w:sz w:val="32"/>
          <w:highlight w:val="none"/>
        </w:rPr>
      </w:pPr>
    </w:p>
    <w:p>
      <w:pPr>
        <w:pageBreakBefore w:val="0"/>
        <w:kinsoku/>
        <w:topLinePunct w:val="0"/>
        <w:bidi w:val="0"/>
        <w:spacing w:line="360" w:lineRule="auto"/>
        <w:rPr>
          <w:rFonts w:hint="eastAsia"/>
          <w:color w:val="000000"/>
          <w:sz w:val="32"/>
          <w:highlight w:val="none"/>
        </w:rPr>
      </w:pPr>
    </w:p>
    <w:p>
      <w:pPr>
        <w:pageBreakBefore w:val="0"/>
        <w:kinsoku/>
        <w:topLinePunct w:val="0"/>
        <w:bidi w:val="0"/>
        <w:spacing w:before="160" w:beforeLines="50" w:line="360" w:lineRule="auto"/>
        <w:ind w:firstLine="482" w:firstLineChars="200"/>
        <w:rPr>
          <w:rFonts w:hint="eastAsia"/>
          <w:b/>
          <w:bCs/>
          <w:color w:val="000000"/>
          <w:sz w:val="24"/>
          <w:highlight w:val="none"/>
          <w:u w:val="single"/>
          <w:lang w:val="en-US" w:eastAsia="zh-CN"/>
        </w:rPr>
      </w:pPr>
      <w:r>
        <w:rPr>
          <w:rFonts w:hint="eastAsia"/>
          <w:b/>
          <w:bCs/>
          <w:color w:val="000000"/>
          <w:sz w:val="24"/>
          <w:highlight w:val="none"/>
          <w:u w:val="single"/>
        </w:rPr>
        <w:t>说明：</w:t>
      </w:r>
      <w:r>
        <w:rPr>
          <w:rFonts w:hint="eastAsia"/>
          <w:b/>
          <w:bCs/>
          <w:color w:val="000000"/>
          <w:sz w:val="24"/>
          <w:highlight w:val="none"/>
          <w:u w:val="single"/>
          <w:lang w:val="en-US" w:eastAsia="zh-CN"/>
        </w:rPr>
        <w:t>1、须提供相关证明材料。</w:t>
      </w:r>
    </w:p>
    <w:p>
      <w:pPr>
        <w:pageBreakBefore w:val="0"/>
        <w:kinsoku/>
        <w:topLinePunct w:val="0"/>
        <w:bidi w:val="0"/>
        <w:spacing w:line="360" w:lineRule="auto"/>
        <w:rPr>
          <w:rFonts w:hint="eastAsia"/>
          <w:color w:val="000000"/>
          <w:sz w:val="32"/>
          <w:highlight w:val="none"/>
        </w:rPr>
      </w:pPr>
    </w:p>
    <w:bookmarkEnd w:id="195"/>
    <w:p>
      <w:pPr>
        <w:pStyle w:val="2"/>
        <w:keepNext w:val="0"/>
        <w:keepLines w:val="0"/>
        <w:pageBreakBefore w:val="0"/>
        <w:kinsoku/>
        <w:topLinePunct w:val="0"/>
        <w:bidi w:val="0"/>
        <w:spacing w:line="360" w:lineRule="auto"/>
        <w:jc w:val="center"/>
        <w:rPr>
          <w:rFonts w:hint="eastAsia" w:ascii="Times New Roman" w:hAnsi="Times New Roman" w:eastAsia="宋体"/>
          <w:color w:val="000000"/>
          <w:sz w:val="32"/>
          <w:highlight w:val="none"/>
        </w:rPr>
      </w:pPr>
      <w:bookmarkStart w:id="196" w:name="_Toc19630"/>
      <w:bookmarkStart w:id="197" w:name="_Toc317237634"/>
      <w:bookmarkStart w:id="198" w:name="_Toc7742"/>
    </w:p>
    <w:p>
      <w:pPr>
        <w:pStyle w:val="2"/>
        <w:keepNext w:val="0"/>
        <w:keepLines w:val="0"/>
        <w:pageBreakBefore w:val="0"/>
        <w:kinsoku/>
        <w:topLinePunct w:val="0"/>
        <w:bidi w:val="0"/>
        <w:spacing w:line="360" w:lineRule="auto"/>
        <w:jc w:val="center"/>
        <w:rPr>
          <w:rFonts w:hint="eastAsia" w:ascii="Times New Roman" w:hAnsi="Times New Roman" w:eastAsia="宋体"/>
          <w:color w:val="000000"/>
          <w:sz w:val="32"/>
          <w:highlight w:val="none"/>
        </w:rPr>
      </w:pPr>
      <w:r>
        <w:rPr>
          <w:rFonts w:hint="eastAsia" w:ascii="Times New Roman" w:hAnsi="Times New Roman" w:eastAsia="宋体"/>
          <w:color w:val="000000"/>
          <w:sz w:val="32"/>
          <w:highlight w:val="none"/>
        </w:rPr>
        <w:t>二、商务响应文件</w:t>
      </w:r>
      <w:bookmarkEnd w:id="196"/>
      <w:bookmarkEnd w:id="197"/>
      <w:bookmarkEnd w:id="198"/>
    </w:p>
    <w:p>
      <w:pPr>
        <w:pStyle w:val="2"/>
        <w:keepNext w:val="0"/>
        <w:keepLines w:val="0"/>
        <w:pageBreakBefore w:val="0"/>
        <w:numPr>
          <w:ilvl w:val="1"/>
          <w:numId w:val="10"/>
        </w:numPr>
        <w:tabs>
          <w:tab w:val="left" w:pos="360"/>
          <w:tab w:val="left" w:pos="540"/>
          <w:tab w:val="clear" w:pos="780"/>
        </w:tabs>
        <w:kinsoku/>
        <w:topLinePunct w:val="0"/>
        <w:bidi w:val="0"/>
        <w:spacing w:before="160" w:beforeLines="50" w:beforeAutospacing="0" w:after="160" w:afterLines="50" w:afterAutospacing="0" w:line="360" w:lineRule="auto"/>
        <w:ind w:left="0" w:firstLine="0"/>
        <w:jc w:val="center"/>
        <w:rPr>
          <w:rFonts w:hint="eastAsia" w:ascii="Times New Roman" w:hAnsi="Times New Roman" w:eastAsia="宋体"/>
          <w:color w:val="000000"/>
          <w:sz w:val="32"/>
          <w:highlight w:val="none"/>
        </w:rPr>
      </w:pPr>
      <w:bookmarkStart w:id="199" w:name="_Toc14338"/>
      <w:bookmarkStart w:id="200" w:name="_Toc317237635"/>
      <w:bookmarkStart w:id="201" w:name="_Toc28135"/>
      <w:r>
        <w:rPr>
          <w:rFonts w:hint="eastAsia" w:ascii="Times New Roman" w:hAnsi="Times New Roman" w:eastAsia="宋体"/>
          <w:color w:val="000000"/>
          <w:sz w:val="32"/>
          <w:highlight w:val="none"/>
        </w:rPr>
        <w:t>法定代表人授权委托书格式</w:t>
      </w:r>
      <w:bookmarkEnd w:id="183"/>
      <w:bookmarkEnd w:id="199"/>
      <w:bookmarkEnd w:id="200"/>
      <w:bookmarkEnd w:id="201"/>
    </w:p>
    <w:p>
      <w:pPr>
        <w:pStyle w:val="6"/>
        <w:pageBreakBefore w:val="0"/>
        <w:kinsoku/>
        <w:overflowPunct w:val="0"/>
        <w:topLinePunct w:val="0"/>
        <w:bidi w:val="0"/>
        <w:spacing w:line="360" w:lineRule="auto"/>
        <w:ind w:firstLine="0"/>
        <w:rPr>
          <w:rFonts w:eastAsia="宋体"/>
          <w:b/>
          <w:color w:val="000000"/>
          <w:szCs w:val="24"/>
          <w:highlight w:val="none"/>
        </w:rPr>
      </w:pPr>
    </w:p>
    <w:p>
      <w:pPr>
        <w:pStyle w:val="6"/>
        <w:pageBreakBefore w:val="0"/>
        <w:kinsoku/>
        <w:overflowPunct w:val="0"/>
        <w:topLinePunct w:val="0"/>
        <w:bidi w:val="0"/>
        <w:spacing w:line="360" w:lineRule="auto"/>
        <w:ind w:firstLine="0"/>
        <w:jc w:val="center"/>
        <w:rPr>
          <w:rFonts w:hint="eastAsia" w:eastAsia="宋体"/>
          <w:b/>
          <w:color w:val="000000"/>
          <w:sz w:val="32"/>
          <w:szCs w:val="32"/>
          <w:highlight w:val="none"/>
        </w:rPr>
      </w:pPr>
      <w:r>
        <w:rPr>
          <w:rFonts w:hint="eastAsia" w:eastAsia="宋体"/>
          <w:b/>
          <w:color w:val="000000"/>
          <w:sz w:val="32"/>
          <w:szCs w:val="32"/>
          <w:highlight w:val="none"/>
        </w:rPr>
        <w:t>授权委托书</w:t>
      </w:r>
    </w:p>
    <w:p>
      <w:pPr>
        <w:pStyle w:val="6"/>
        <w:pageBreakBefore w:val="0"/>
        <w:kinsoku/>
        <w:overflowPunct w:val="0"/>
        <w:topLinePunct w:val="0"/>
        <w:bidi w:val="0"/>
        <w:spacing w:line="360" w:lineRule="auto"/>
        <w:jc w:val="center"/>
        <w:rPr>
          <w:rFonts w:eastAsia="宋体"/>
          <w:b/>
          <w:color w:val="000000"/>
          <w:szCs w:val="24"/>
          <w:highlight w:val="none"/>
        </w:rPr>
      </w:pPr>
    </w:p>
    <w:p>
      <w:pPr>
        <w:pStyle w:val="6"/>
        <w:pageBreakBefore w:val="0"/>
        <w:kinsoku/>
        <w:overflowPunct w:val="0"/>
        <w:topLinePunct w:val="0"/>
        <w:bidi w:val="0"/>
        <w:spacing w:line="360" w:lineRule="auto"/>
        <w:ind w:firstLine="480" w:firstLineChars="200"/>
        <w:jc w:val="both"/>
        <w:rPr>
          <w:rFonts w:hint="eastAsia" w:eastAsia="宋体"/>
          <w:color w:val="000000"/>
          <w:szCs w:val="24"/>
          <w:highlight w:val="none"/>
        </w:rPr>
      </w:pPr>
      <w:r>
        <w:rPr>
          <w:rFonts w:hint="eastAsia" w:eastAsia="宋体"/>
          <w:color w:val="000000"/>
          <w:szCs w:val="24"/>
          <w:highlight w:val="none"/>
        </w:rPr>
        <w:t>本授权委托书声明：我</w:t>
      </w:r>
      <w:r>
        <w:rPr>
          <w:rFonts w:eastAsia="宋体"/>
          <w:color w:val="000000"/>
          <w:szCs w:val="24"/>
          <w:highlight w:val="none"/>
        </w:rPr>
        <w:t xml:space="preserve"> </w:t>
      </w:r>
      <w:r>
        <w:rPr>
          <w:rFonts w:hint="eastAsia" w:eastAsia="宋体"/>
          <w:iCs/>
          <w:color w:val="000000"/>
          <w:szCs w:val="21"/>
          <w:highlight w:val="none"/>
          <w:u w:val="single"/>
        </w:rPr>
        <w:t xml:space="preserve">  （姓名）  </w:t>
      </w:r>
      <w:r>
        <w:rPr>
          <w:rFonts w:hint="eastAsia" w:eastAsia="宋体"/>
          <w:color w:val="000000"/>
          <w:szCs w:val="24"/>
          <w:highlight w:val="none"/>
        </w:rPr>
        <w:t>系</w:t>
      </w:r>
      <w:r>
        <w:rPr>
          <w:rFonts w:hint="eastAsia" w:eastAsia="宋体"/>
          <w:iCs/>
          <w:color w:val="000000"/>
          <w:szCs w:val="21"/>
          <w:highlight w:val="none"/>
          <w:u w:val="single"/>
        </w:rPr>
        <w:t xml:space="preserve">   （单位名称）  </w:t>
      </w:r>
      <w:r>
        <w:rPr>
          <w:rFonts w:hint="eastAsia" w:eastAsia="宋体"/>
          <w:color w:val="000000"/>
          <w:szCs w:val="24"/>
          <w:highlight w:val="none"/>
        </w:rPr>
        <w:t>的法定代表人，现授权委托</w:t>
      </w:r>
      <w:r>
        <w:rPr>
          <w:rFonts w:hint="eastAsia" w:eastAsia="宋体"/>
          <w:iCs/>
          <w:color w:val="000000"/>
          <w:szCs w:val="21"/>
          <w:highlight w:val="none"/>
          <w:u w:val="single"/>
        </w:rPr>
        <w:t xml:space="preserve">  （被授权人姓名及身份证号码）  </w:t>
      </w:r>
      <w:r>
        <w:rPr>
          <w:rFonts w:hint="eastAsia" w:eastAsia="宋体"/>
          <w:color w:val="000000"/>
          <w:szCs w:val="24"/>
          <w:highlight w:val="none"/>
        </w:rPr>
        <w:t>为我公司的代理人，以本公司的名义参加</w:t>
      </w:r>
      <w:r>
        <w:rPr>
          <w:rFonts w:hint="eastAsia" w:eastAsia="宋体"/>
          <w:color w:val="000000"/>
          <w:szCs w:val="24"/>
          <w:highlight w:val="none"/>
          <w:lang w:eastAsia="zh-CN"/>
        </w:rPr>
        <w:t>海南</w:t>
      </w:r>
      <w:r>
        <w:rPr>
          <w:rFonts w:hint="eastAsia" w:eastAsia="宋体"/>
          <w:color w:val="000000"/>
          <w:szCs w:val="24"/>
          <w:highlight w:val="none"/>
          <w:lang w:val="en-US" w:eastAsia="zh-CN"/>
        </w:rPr>
        <w:t>珑宸</w:t>
      </w:r>
      <w:r>
        <w:rPr>
          <w:rFonts w:hint="eastAsia" w:eastAsia="宋体"/>
          <w:color w:val="000000"/>
          <w:szCs w:val="24"/>
          <w:highlight w:val="none"/>
          <w:lang w:eastAsia="zh-CN"/>
        </w:rPr>
        <w:t>项目管理有限公司</w:t>
      </w:r>
      <w:r>
        <w:rPr>
          <w:rFonts w:hint="eastAsia" w:eastAsia="宋体"/>
          <w:color w:val="000000"/>
          <w:szCs w:val="24"/>
          <w:highlight w:val="none"/>
        </w:rPr>
        <w:t>组织的编号为</w:t>
      </w:r>
      <w:r>
        <w:rPr>
          <w:rFonts w:hint="eastAsia" w:eastAsia="宋体"/>
          <w:color w:val="000000"/>
          <w:szCs w:val="24"/>
          <w:highlight w:val="none"/>
          <w:lang w:val="en-US" w:eastAsia="zh-CN"/>
        </w:rPr>
        <w:t>HNLC-2023[12]</w:t>
      </w:r>
      <w:r>
        <w:rPr>
          <w:rFonts w:hint="eastAsia" w:eastAsia="宋体"/>
          <w:color w:val="000000"/>
          <w:szCs w:val="24"/>
          <w:highlight w:val="none"/>
        </w:rPr>
        <w:t>的磋商采购活动，处理与本磋商项目有关的一切事务。被授权人在磋商过程及合同签订中所签署的一切文件，我均予以承认。</w:t>
      </w:r>
    </w:p>
    <w:p>
      <w:pPr>
        <w:pStyle w:val="6"/>
        <w:pageBreakBefore w:val="0"/>
        <w:kinsoku/>
        <w:overflowPunct w:val="0"/>
        <w:topLinePunct w:val="0"/>
        <w:bidi w:val="0"/>
        <w:spacing w:line="360" w:lineRule="auto"/>
        <w:ind w:firstLine="480" w:firstLineChars="200"/>
        <w:jc w:val="both"/>
        <w:rPr>
          <w:rFonts w:eastAsia="宋体"/>
          <w:color w:val="000000"/>
          <w:szCs w:val="24"/>
          <w:highlight w:val="none"/>
        </w:rPr>
      </w:pPr>
      <w:r>
        <w:rPr>
          <w:rFonts w:hint="eastAsia" w:eastAsia="宋体"/>
          <w:color w:val="000000"/>
          <w:szCs w:val="24"/>
          <w:highlight w:val="none"/>
        </w:rPr>
        <w:t>与本项目有关的质疑、投诉事项，我将亲自处理或另行特别授权。</w:t>
      </w:r>
    </w:p>
    <w:p>
      <w:pPr>
        <w:pStyle w:val="6"/>
        <w:pageBreakBefore w:val="0"/>
        <w:kinsoku/>
        <w:overflowPunct w:val="0"/>
        <w:topLinePunct w:val="0"/>
        <w:bidi w:val="0"/>
        <w:spacing w:line="360" w:lineRule="auto"/>
        <w:ind w:firstLine="480" w:firstLineChars="200"/>
        <w:jc w:val="both"/>
        <w:rPr>
          <w:rFonts w:eastAsia="宋体"/>
          <w:color w:val="000000"/>
          <w:szCs w:val="24"/>
          <w:highlight w:val="none"/>
        </w:rPr>
      </w:pPr>
      <w:r>
        <w:rPr>
          <w:rFonts w:hint="eastAsia" w:eastAsia="宋体"/>
          <w:color w:val="000000"/>
          <w:szCs w:val="24"/>
          <w:highlight w:val="none"/>
        </w:rPr>
        <w:t>本授权委托书的效力自签署日起至合同履行完毕止。</w:t>
      </w:r>
    </w:p>
    <w:p>
      <w:pPr>
        <w:pStyle w:val="6"/>
        <w:pageBreakBefore w:val="0"/>
        <w:kinsoku/>
        <w:overflowPunct w:val="0"/>
        <w:topLinePunct w:val="0"/>
        <w:bidi w:val="0"/>
        <w:spacing w:line="360" w:lineRule="auto"/>
        <w:ind w:firstLine="480" w:firstLineChars="200"/>
        <w:jc w:val="both"/>
        <w:rPr>
          <w:rFonts w:eastAsia="宋体"/>
          <w:color w:val="000000"/>
          <w:szCs w:val="24"/>
          <w:highlight w:val="none"/>
        </w:rPr>
      </w:pPr>
      <w:r>
        <w:rPr>
          <w:rFonts w:hint="eastAsia" w:eastAsia="宋体"/>
          <w:color w:val="000000"/>
          <w:szCs w:val="24"/>
          <w:highlight w:val="none"/>
        </w:rPr>
        <w:t>被授权人无转委托权。特此委托。</w:t>
      </w:r>
    </w:p>
    <w:p>
      <w:pPr>
        <w:pStyle w:val="6"/>
        <w:pageBreakBefore w:val="0"/>
        <w:kinsoku/>
        <w:overflowPunct w:val="0"/>
        <w:topLinePunct w:val="0"/>
        <w:bidi w:val="0"/>
        <w:spacing w:line="360" w:lineRule="auto"/>
        <w:jc w:val="both"/>
        <w:rPr>
          <w:rFonts w:hint="eastAsia" w:eastAsia="宋体"/>
          <w:color w:val="000000"/>
          <w:szCs w:val="24"/>
          <w:highlight w:val="none"/>
        </w:rPr>
      </w:pPr>
      <w:r>
        <w:rPr>
          <w:rFonts w:eastAsia="宋体"/>
          <w:color w:val="000000"/>
          <w:szCs w:val="24"/>
          <w:highlight w:val="none"/>
        </w:rPr>
        <w:t xml:space="preserve"> </w:t>
      </w:r>
      <w:r>
        <w:rPr>
          <w:rFonts w:hint="eastAsia" w:eastAsia="宋体"/>
          <w:color w:val="000000"/>
          <w:szCs w:val="24"/>
          <w:highlight w:val="none"/>
        </w:rPr>
        <w:t>本授权书于</w:t>
      </w:r>
      <w:r>
        <w:rPr>
          <w:rFonts w:hint="eastAsia" w:eastAsia="宋体"/>
          <w:color w:val="000000"/>
          <w:szCs w:val="24"/>
          <w:highlight w:val="none"/>
          <w:u w:val="single"/>
        </w:rPr>
        <w:t xml:space="preserve">     </w:t>
      </w:r>
      <w:r>
        <w:rPr>
          <w:rFonts w:hint="eastAsia" w:eastAsia="宋体"/>
          <w:color w:val="000000"/>
          <w:szCs w:val="24"/>
          <w:highlight w:val="none"/>
        </w:rPr>
        <w:t>年</w:t>
      </w:r>
      <w:r>
        <w:rPr>
          <w:rFonts w:hint="eastAsia" w:eastAsia="宋体"/>
          <w:color w:val="000000"/>
          <w:szCs w:val="24"/>
          <w:highlight w:val="none"/>
          <w:u w:val="single"/>
        </w:rPr>
        <w:t xml:space="preserve">   </w:t>
      </w:r>
      <w:r>
        <w:rPr>
          <w:rFonts w:hint="eastAsia" w:eastAsia="宋体"/>
          <w:color w:val="000000"/>
          <w:szCs w:val="24"/>
          <w:highlight w:val="none"/>
        </w:rPr>
        <w:t>月</w:t>
      </w:r>
      <w:r>
        <w:rPr>
          <w:rFonts w:hint="eastAsia" w:eastAsia="宋体"/>
          <w:color w:val="000000"/>
          <w:szCs w:val="24"/>
          <w:highlight w:val="none"/>
          <w:u w:val="single"/>
        </w:rPr>
        <w:t xml:space="preserve">   </w:t>
      </w:r>
      <w:r>
        <w:rPr>
          <w:rFonts w:hint="eastAsia" w:eastAsia="宋体"/>
          <w:color w:val="000000"/>
          <w:szCs w:val="24"/>
          <w:highlight w:val="none"/>
        </w:rPr>
        <w:t>日签字生效，特此证明。</w:t>
      </w:r>
    </w:p>
    <w:p>
      <w:pPr>
        <w:pStyle w:val="6"/>
        <w:pageBreakBefore w:val="0"/>
        <w:kinsoku/>
        <w:overflowPunct w:val="0"/>
        <w:topLinePunct w:val="0"/>
        <w:bidi w:val="0"/>
        <w:spacing w:line="360" w:lineRule="auto"/>
        <w:jc w:val="both"/>
        <w:rPr>
          <w:rFonts w:hint="eastAsia" w:eastAsia="宋体"/>
          <w:color w:val="000000"/>
          <w:szCs w:val="24"/>
          <w:highlight w:val="none"/>
        </w:rPr>
      </w:pPr>
    </w:p>
    <w:p>
      <w:pPr>
        <w:pStyle w:val="6"/>
        <w:pageBreakBefore w:val="0"/>
        <w:kinsoku/>
        <w:overflowPunct w:val="0"/>
        <w:topLinePunct w:val="0"/>
        <w:bidi w:val="0"/>
        <w:spacing w:line="360" w:lineRule="auto"/>
        <w:jc w:val="both"/>
        <w:rPr>
          <w:rFonts w:hint="eastAsia" w:eastAsia="宋体"/>
          <w:color w:val="000000"/>
          <w:szCs w:val="24"/>
          <w:highlight w:val="none"/>
        </w:rPr>
      </w:pPr>
    </w:p>
    <w:p>
      <w:pPr>
        <w:pStyle w:val="6"/>
        <w:pageBreakBefore w:val="0"/>
        <w:kinsoku/>
        <w:overflowPunct w:val="0"/>
        <w:topLinePunct w:val="0"/>
        <w:bidi w:val="0"/>
        <w:spacing w:line="360" w:lineRule="auto"/>
        <w:jc w:val="both"/>
        <w:rPr>
          <w:rFonts w:eastAsia="宋体"/>
          <w:color w:val="000000"/>
          <w:szCs w:val="24"/>
          <w:highlight w:val="none"/>
        </w:rPr>
      </w:pPr>
      <w:r>
        <w:rPr>
          <w:rFonts w:hint="eastAsia" w:eastAsia="宋体"/>
          <w:color w:val="000000"/>
          <w:szCs w:val="24"/>
          <w:highlight w:val="none"/>
          <w:lang w:eastAsia="zh-CN"/>
        </w:rPr>
        <w:t>供应商名称</w:t>
      </w:r>
      <w:r>
        <w:rPr>
          <w:rFonts w:hint="eastAsia" w:eastAsia="宋体"/>
          <w:color w:val="000000"/>
          <w:szCs w:val="24"/>
          <w:highlight w:val="none"/>
        </w:rPr>
        <w:t>：</w:t>
      </w:r>
      <w:r>
        <w:rPr>
          <w:rFonts w:hint="eastAsia" w:eastAsia="宋体"/>
          <w:iCs/>
          <w:color w:val="000000"/>
          <w:szCs w:val="21"/>
          <w:highlight w:val="none"/>
        </w:rPr>
        <w:t>（填写</w:t>
      </w:r>
      <w:r>
        <w:rPr>
          <w:rFonts w:hint="eastAsia" w:eastAsia="宋体"/>
          <w:iCs/>
          <w:color w:val="000000"/>
          <w:szCs w:val="21"/>
          <w:highlight w:val="none"/>
          <w:lang w:eastAsia="zh-CN"/>
        </w:rPr>
        <w:t>单位全称</w:t>
      </w:r>
      <w:r>
        <w:rPr>
          <w:rFonts w:hint="eastAsia" w:eastAsia="宋体"/>
          <w:iCs/>
          <w:color w:val="000000"/>
          <w:szCs w:val="21"/>
          <w:highlight w:val="none"/>
        </w:rPr>
        <w:t>并</w:t>
      </w:r>
      <w:r>
        <w:rPr>
          <w:rFonts w:hint="eastAsia" w:eastAsia="宋体"/>
          <w:iCs/>
          <w:color w:val="000000"/>
          <w:szCs w:val="21"/>
          <w:highlight w:val="none"/>
          <w:lang w:eastAsia="zh-CN"/>
        </w:rPr>
        <w:t>加盖公章</w:t>
      </w:r>
      <w:r>
        <w:rPr>
          <w:rFonts w:hint="eastAsia" w:eastAsia="宋体"/>
          <w:iCs/>
          <w:color w:val="000000"/>
          <w:szCs w:val="21"/>
          <w:highlight w:val="none"/>
        </w:rPr>
        <w:t>）</w:t>
      </w:r>
    </w:p>
    <w:p>
      <w:pPr>
        <w:pStyle w:val="6"/>
        <w:pageBreakBefore w:val="0"/>
        <w:kinsoku/>
        <w:overflowPunct w:val="0"/>
        <w:topLinePunct w:val="0"/>
        <w:bidi w:val="0"/>
        <w:spacing w:line="360" w:lineRule="auto"/>
        <w:jc w:val="both"/>
        <w:rPr>
          <w:rFonts w:hint="eastAsia" w:eastAsia="宋体"/>
          <w:color w:val="000000"/>
          <w:szCs w:val="24"/>
          <w:highlight w:val="none"/>
        </w:rPr>
      </w:pPr>
    </w:p>
    <w:p>
      <w:pPr>
        <w:pStyle w:val="6"/>
        <w:pageBreakBefore w:val="0"/>
        <w:kinsoku/>
        <w:overflowPunct w:val="0"/>
        <w:topLinePunct w:val="0"/>
        <w:bidi w:val="0"/>
        <w:spacing w:line="360" w:lineRule="auto"/>
        <w:jc w:val="both"/>
        <w:rPr>
          <w:rFonts w:eastAsia="宋体"/>
          <w:color w:val="000000"/>
          <w:szCs w:val="24"/>
          <w:highlight w:val="none"/>
        </w:rPr>
      </w:pPr>
      <w:r>
        <w:rPr>
          <w:rFonts w:hint="eastAsia" w:eastAsia="宋体"/>
          <w:color w:val="000000"/>
          <w:szCs w:val="24"/>
          <w:highlight w:val="none"/>
        </w:rPr>
        <w:t>法定代表人：</w:t>
      </w:r>
      <w:r>
        <w:rPr>
          <w:rFonts w:hint="eastAsia" w:eastAsia="宋体"/>
          <w:iCs/>
          <w:color w:val="000000"/>
          <w:szCs w:val="21"/>
          <w:highlight w:val="none"/>
        </w:rPr>
        <w:t>（签字或盖章）</w:t>
      </w:r>
    </w:p>
    <w:p>
      <w:pPr>
        <w:pStyle w:val="6"/>
        <w:pageBreakBefore w:val="0"/>
        <w:kinsoku/>
        <w:overflowPunct w:val="0"/>
        <w:topLinePunct w:val="0"/>
        <w:bidi w:val="0"/>
        <w:spacing w:line="360" w:lineRule="auto"/>
        <w:jc w:val="both"/>
        <w:rPr>
          <w:rFonts w:hint="eastAsia" w:eastAsia="宋体"/>
          <w:color w:val="000000"/>
          <w:szCs w:val="24"/>
          <w:highlight w:val="none"/>
        </w:rPr>
      </w:pPr>
    </w:p>
    <w:p>
      <w:pPr>
        <w:pStyle w:val="6"/>
        <w:pageBreakBefore w:val="0"/>
        <w:kinsoku/>
        <w:overflowPunct w:val="0"/>
        <w:topLinePunct w:val="0"/>
        <w:bidi w:val="0"/>
        <w:spacing w:line="360" w:lineRule="auto"/>
        <w:jc w:val="both"/>
        <w:rPr>
          <w:rFonts w:eastAsia="宋体"/>
          <w:color w:val="000000"/>
          <w:szCs w:val="24"/>
          <w:highlight w:val="none"/>
        </w:rPr>
      </w:pPr>
      <w:r>
        <w:rPr>
          <w:rFonts w:hint="eastAsia" w:eastAsia="宋体"/>
          <w:color w:val="000000"/>
          <w:szCs w:val="24"/>
          <w:highlight w:val="none"/>
        </w:rPr>
        <w:t>被授权人：</w:t>
      </w:r>
      <w:r>
        <w:rPr>
          <w:rFonts w:hint="eastAsia" w:eastAsia="宋体"/>
          <w:iCs/>
          <w:color w:val="000000"/>
          <w:szCs w:val="21"/>
          <w:highlight w:val="none"/>
        </w:rPr>
        <w:t>（签字或盖章）</w:t>
      </w:r>
    </w:p>
    <w:p>
      <w:pPr>
        <w:pageBreakBefore w:val="0"/>
        <w:kinsoku/>
        <w:topLinePunct w:val="0"/>
        <w:bidi w:val="0"/>
        <w:spacing w:line="360" w:lineRule="auto"/>
        <w:rPr>
          <w:rFonts w:hint="eastAsia"/>
          <w:b/>
          <w:color w:val="000000"/>
          <w:sz w:val="24"/>
          <w:highlight w:val="none"/>
        </w:rPr>
      </w:pPr>
    </w:p>
    <w:p>
      <w:pPr>
        <w:pStyle w:val="6"/>
        <w:pageBreakBefore w:val="0"/>
        <w:kinsoku/>
        <w:overflowPunct w:val="0"/>
        <w:topLinePunct w:val="0"/>
        <w:bidi w:val="0"/>
        <w:spacing w:line="360" w:lineRule="auto"/>
        <w:ind w:firstLine="0"/>
        <w:rPr>
          <w:rFonts w:hint="eastAsia" w:eastAsia="宋体"/>
          <w:b/>
          <w:color w:val="000000"/>
          <w:sz w:val="32"/>
          <w:szCs w:val="32"/>
          <w:highlight w:val="none"/>
        </w:rPr>
      </w:pPr>
      <w:bookmarkStart w:id="202" w:name="_Toc212102886"/>
    </w:p>
    <w:p>
      <w:pPr>
        <w:pStyle w:val="6"/>
        <w:pageBreakBefore w:val="0"/>
        <w:kinsoku/>
        <w:overflowPunct w:val="0"/>
        <w:topLinePunct w:val="0"/>
        <w:bidi w:val="0"/>
        <w:spacing w:line="360" w:lineRule="auto"/>
        <w:ind w:firstLine="0"/>
        <w:rPr>
          <w:rFonts w:hint="eastAsia" w:eastAsia="宋体"/>
          <w:b/>
          <w:color w:val="000000"/>
          <w:sz w:val="32"/>
          <w:szCs w:val="32"/>
          <w:highlight w:val="none"/>
        </w:rPr>
      </w:pPr>
    </w:p>
    <w:p>
      <w:pPr>
        <w:pStyle w:val="6"/>
        <w:pageBreakBefore w:val="0"/>
        <w:kinsoku/>
        <w:overflowPunct w:val="0"/>
        <w:topLinePunct w:val="0"/>
        <w:bidi w:val="0"/>
        <w:spacing w:line="360" w:lineRule="auto"/>
        <w:ind w:firstLine="0"/>
        <w:rPr>
          <w:rFonts w:hint="eastAsia" w:eastAsia="宋体"/>
          <w:b/>
          <w:color w:val="000000"/>
          <w:sz w:val="32"/>
          <w:szCs w:val="32"/>
          <w:highlight w:val="none"/>
        </w:rPr>
        <w:sectPr>
          <w:pgSz w:w="11906" w:h="16838"/>
          <w:pgMar w:top="1247" w:right="1247" w:bottom="1134" w:left="1644" w:header="851" w:footer="850" w:gutter="0"/>
          <w:pgNumType w:fmt="decimal"/>
          <w:cols w:space="708" w:num="1"/>
          <w:docGrid w:type="lines" w:linePitch="321" w:charSpace="0"/>
        </w:sectPr>
      </w:pPr>
      <w:r>
        <w:rPr>
          <w:rFonts w:hint="eastAsia" w:eastAsia="宋体"/>
          <w:b/>
          <w:color w:val="000000"/>
          <w:sz w:val="32"/>
          <w:szCs w:val="32"/>
          <w:highlight w:val="none"/>
        </w:rPr>
        <w:t>备注：附法人、被授权人身份证正反面复印件。</w:t>
      </w:r>
    </w:p>
    <w:p>
      <w:pPr>
        <w:pStyle w:val="2"/>
        <w:keepNext w:val="0"/>
        <w:keepLines w:val="0"/>
        <w:pageBreakBefore w:val="0"/>
        <w:numPr>
          <w:ilvl w:val="0"/>
          <w:numId w:val="0"/>
        </w:numPr>
        <w:tabs>
          <w:tab w:val="left" w:pos="360"/>
          <w:tab w:val="left" w:pos="540"/>
        </w:tabs>
        <w:kinsoku/>
        <w:topLinePunct w:val="0"/>
        <w:bidi w:val="0"/>
        <w:spacing w:before="160" w:beforeLines="50" w:beforeAutospacing="0" w:after="160" w:afterLines="50" w:afterAutospacing="0" w:line="360" w:lineRule="auto"/>
        <w:ind w:leftChars="0"/>
        <w:jc w:val="center"/>
        <w:rPr>
          <w:rFonts w:hint="eastAsia"/>
          <w:color w:val="000000"/>
          <w:highlight w:val="none"/>
        </w:rPr>
      </w:pPr>
      <w:r>
        <w:rPr>
          <w:rFonts w:hint="eastAsia" w:ascii="Times New Roman" w:hAnsi="Times New Roman" w:eastAsia="宋体"/>
          <w:color w:val="000000"/>
          <w:sz w:val="32"/>
          <w:highlight w:val="none"/>
          <w:lang w:val="en-US" w:eastAsia="zh-CN"/>
        </w:rPr>
        <w:t>2、供应商基本情况表</w:t>
      </w:r>
    </w:p>
    <w:p>
      <w:pPr>
        <w:pStyle w:val="2"/>
        <w:keepNext w:val="0"/>
        <w:keepLines w:val="0"/>
        <w:pageBreakBefore w:val="0"/>
        <w:tabs>
          <w:tab w:val="left" w:pos="360"/>
          <w:tab w:val="left" w:pos="540"/>
        </w:tabs>
        <w:kinsoku/>
        <w:topLinePunct w:val="0"/>
        <w:bidi w:val="0"/>
        <w:spacing w:before="160" w:beforeLines="50" w:beforeAutospacing="0" w:after="160" w:afterLines="50" w:afterAutospacing="0" w:line="360" w:lineRule="auto"/>
        <w:jc w:val="center"/>
        <w:rPr>
          <w:rFonts w:hint="eastAsia" w:ascii="Times New Roman" w:hAnsi="Times New Roman" w:eastAsia="宋体"/>
          <w:color w:val="000000"/>
          <w:sz w:val="28"/>
          <w:szCs w:val="28"/>
          <w:highlight w:val="none"/>
        </w:rPr>
      </w:pPr>
      <w:bookmarkStart w:id="203" w:name="_Toc2190"/>
      <w:bookmarkStart w:id="204" w:name="_Toc317237638"/>
      <w:bookmarkStart w:id="205" w:name="_Toc12073"/>
      <w:r>
        <w:rPr>
          <w:rFonts w:hint="eastAsia" w:ascii="Times New Roman" w:hAnsi="Times New Roman" w:eastAsia="宋体"/>
          <w:color w:val="000000"/>
          <w:sz w:val="32"/>
          <w:highlight w:val="none"/>
          <w:lang w:eastAsia="zh-CN"/>
        </w:rPr>
        <w:t>供应商</w:t>
      </w:r>
      <w:r>
        <w:rPr>
          <w:rFonts w:hint="eastAsia" w:ascii="Times New Roman" w:hAnsi="Times New Roman" w:eastAsia="宋体"/>
          <w:color w:val="000000"/>
          <w:sz w:val="32"/>
          <w:highlight w:val="none"/>
        </w:rPr>
        <w:t>基本情况表</w:t>
      </w:r>
      <w:bookmarkEnd w:id="203"/>
      <w:bookmarkEnd w:id="204"/>
      <w:bookmarkEnd w:id="205"/>
    </w:p>
    <w:tbl>
      <w:tblPr>
        <w:tblStyle w:val="18"/>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97"/>
        <w:gridCol w:w="851"/>
        <w:gridCol w:w="169"/>
        <w:gridCol w:w="1451"/>
        <w:gridCol w:w="724"/>
        <w:gridCol w:w="434"/>
        <w:gridCol w:w="8"/>
        <w:gridCol w:w="458"/>
        <w:gridCol w:w="936"/>
        <w:gridCol w:w="684"/>
        <w:gridCol w:w="169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97" w:type="dxa"/>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r>
              <w:rPr>
                <w:rFonts w:hint="eastAsia"/>
                <w:color w:val="000000"/>
                <w:kern w:val="0"/>
                <w:szCs w:val="21"/>
                <w:highlight w:val="none"/>
                <w:lang w:eastAsia="zh-CN"/>
              </w:rPr>
              <w:t>供应商</w:t>
            </w:r>
            <w:r>
              <w:rPr>
                <w:rFonts w:hint="eastAsia"/>
                <w:color w:val="000000"/>
                <w:kern w:val="0"/>
                <w:szCs w:val="21"/>
                <w:highlight w:val="none"/>
              </w:rPr>
              <w:t>名称</w:t>
            </w:r>
          </w:p>
        </w:tc>
        <w:tc>
          <w:tcPr>
            <w:tcW w:w="7412" w:type="dxa"/>
            <w:gridSpan w:val="10"/>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97" w:type="dxa"/>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r>
              <w:rPr>
                <w:rFonts w:hint="eastAsia"/>
                <w:color w:val="000000"/>
                <w:kern w:val="0"/>
                <w:szCs w:val="21"/>
                <w:highlight w:val="none"/>
              </w:rPr>
              <w:t>注册地址</w:t>
            </w:r>
          </w:p>
        </w:tc>
        <w:tc>
          <w:tcPr>
            <w:tcW w:w="3637" w:type="dxa"/>
            <w:gridSpan w:val="6"/>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p>
        </w:tc>
        <w:tc>
          <w:tcPr>
            <w:tcW w:w="1394" w:type="dxa"/>
            <w:gridSpan w:val="2"/>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r>
              <w:rPr>
                <w:rFonts w:hint="eastAsia"/>
                <w:color w:val="000000"/>
                <w:kern w:val="0"/>
                <w:szCs w:val="21"/>
                <w:highlight w:val="none"/>
              </w:rPr>
              <w:t>邮政编码</w:t>
            </w:r>
          </w:p>
        </w:tc>
        <w:tc>
          <w:tcPr>
            <w:tcW w:w="2381" w:type="dxa"/>
            <w:gridSpan w:val="2"/>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97" w:type="dxa"/>
            <w:vMerge w:val="restart"/>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r>
              <w:rPr>
                <w:rFonts w:hint="eastAsia"/>
                <w:color w:val="000000"/>
                <w:kern w:val="0"/>
                <w:szCs w:val="21"/>
                <w:highlight w:val="none"/>
              </w:rPr>
              <w:t>联系方式</w:t>
            </w:r>
          </w:p>
        </w:tc>
        <w:tc>
          <w:tcPr>
            <w:tcW w:w="1020" w:type="dxa"/>
            <w:gridSpan w:val="2"/>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r>
              <w:rPr>
                <w:rFonts w:hint="eastAsia"/>
                <w:color w:val="000000"/>
                <w:kern w:val="0"/>
                <w:szCs w:val="21"/>
                <w:highlight w:val="none"/>
              </w:rPr>
              <w:t>联系人</w:t>
            </w:r>
          </w:p>
        </w:tc>
        <w:tc>
          <w:tcPr>
            <w:tcW w:w="2609" w:type="dxa"/>
            <w:gridSpan w:val="3"/>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p>
        </w:tc>
        <w:tc>
          <w:tcPr>
            <w:tcW w:w="1402" w:type="dxa"/>
            <w:gridSpan w:val="3"/>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r>
              <w:rPr>
                <w:rFonts w:hint="eastAsia"/>
                <w:color w:val="000000"/>
                <w:kern w:val="0"/>
                <w:szCs w:val="21"/>
                <w:highlight w:val="none"/>
              </w:rPr>
              <w:t>电话</w:t>
            </w:r>
          </w:p>
        </w:tc>
        <w:tc>
          <w:tcPr>
            <w:tcW w:w="2381" w:type="dxa"/>
            <w:gridSpan w:val="2"/>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597" w:type="dxa"/>
            <w:vMerge w:val="continue"/>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p>
        </w:tc>
        <w:tc>
          <w:tcPr>
            <w:tcW w:w="1020" w:type="dxa"/>
            <w:gridSpan w:val="2"/>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r>
              <w:rPr>
                <w:rFonts w:hint="eastAsia"/>
                <w:color w:val="000000"/>
                <w:kern w:val="0"/>
                <w:szCs w:val="21"/>
                <w:highlight w:val="none"/>
              </w:rPr>
              <w:t>传真</w:t>
            </w:r>
          </w:p>
        </w:tc>
        <w:tc>
          <w:tcPr>
            <w:tcW w:w="2609" w:type="dxa"/>
            <w:gridSpan w:val="3"/>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p>
        </w:tc>
        <w:tc>
          <w:tcPr>
            <w:tcW w:w="1402" w:type="dxa"/>
            <w:gridSpan w:val="3"/>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r>
              <w:rPr>
                <w:rFonts w:hint="eastAsia"/>
                <w:color w:val="000000"/>
                <w:kern w:val="0"/>
                <w:szCs w:val="21"/>
                <w:highlight w:val="none"/>
              </w:rPr>
              <w:t>网址</w:t>
            </w:r>
          </w:p>
        </w:tc>
        <w:tc>
          <w:tcPr>
            <w:tcW w:w="2381" w:type="dxa"/>
            <w:gridSpan w:val="2"/>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97" w:type="dxa"/>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r>
              <w:rPr>
                <w:rFonts w:hint="eastAsia"/>
                <w:color w:val="000000"/>
                <w:kern w:val="0"/>
                <w:szCs w:val="21"/>
                <w:highlight w:val="none"/>
              </w:rPr>
              <w:t>法定代表人</w:t>
            </w:r>
          </w:p>
        </w:tc>
        <w:tc>
          <w:tcPr>
            <w:tcW w:w="851" w:type="dxa"/>
            <w:vAlign w:val="center"/>
          </w:tcPr>
          <w:p>
            <w:pPr>
              <w:pageBreakBefore w:val="0"/>
              <w:kinsoku/>
              <w:topLinePunct w:val="0"/>
              <w:autoSpaceDE w:val="0"/>
              <w:autoSpaceDN w:val="0"/>
              <w:bidi w:val="0"/>
              <w:adjustRightInd w:val="0"/>
              <w:spacing w:line="360" w:lineRule="auto"/>
              <w:jc w:val="center"/>
              <w:rPr>
                <w:rFonts w:hint="eastAsia"/>
                <w:color w:val="000000"/>
                <w:kern w:val="0"/>
                <w:szCs w:val="21"/>
                <w:highlight w:val="none"/>
              </w:rPr>
            </w:pPr>
            <w:r>
              <w:rPr>
                <w:rFonts w:hint="eastAsia"/>
                <w:color w:val="000000"/>
                <w:kern w:val="0"/>
                <w:szCs w:val="21"/>
                <w:highlight w:val="none"/>
              </w:rPr>
              <w:t>姓名</w:t>
            </w:r>
          </w:p>
        </w:tc>
        <w:tc>
          <w:tcPr>
            <w:tcW w:w="1620" w:type="dxa"/>
            <w:gridSpan w:val="2"/>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p>
        </w:tc>
        <w:tc>
          <w:tcPr>
            <w:tcW w:w="1158" w:type="dxa"/>
            <w:gridSpan w:val="2"/>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r>
              <w:rPr>
                <w:rFonts w:hint="eastAsia"/>
                <w:color w:val="000000"/>
                <w:kern w:val="0"/>
                <w:szCs w:val="21"/>
                <w:highlight w:val="none"/>
              </w:rPr>
              <w:t>技术职称</w:t>
            </w:r>
          </w:p>
        </w:tc>
        <w:tc>
          <w:tcPr>
            <w:tcW w:w="1402" w:type="dxa"/>
            <w:gridSpan w:val="3"/>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p>
        </w:tc>
        <w:tc>
          <w:tcPr>
            <w:tcW w:w="684" w:type="dxa"/>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r>
              <w:rPr>
                <w:rFonts w:hint="eastAsia"/>
                <w:color w:val="000000"/>
                <w:kern w:val="0"/>
                <w:szCs w:val="21"/>
                <w:highlight w:val="none"/>
              </w:rPr>
              <w:t>电话</w:t>
            </w:r>
          </w:p>
        </w:tc>
        <w:tc>
          <w:tcPr>
            <w:tcW w:w="1697" w:type="dxa"/>
            <w:vAlign w:val="center"/>
          </w:tcPr>
          <w:p>
            <w:pPr>
              <w:pageBreakBefore w:val="0"/>
              <w:kinsoku/>
              <w:topLinePunct w:val="0"/>
              <w:autoSpaceDE w:val="0"/>
              <w:autoSpaceDN w:val="0"/>
              <w:bidi w:val="0"/>
              <w:adjustRightInd w:val="0"/>
              <w:spacing w:line="360" w:lineRule="auto"/>
              <w:rPr>
                <w:rFonts w:hint="eastAsia"/>
                <w:b/>
                <w:bCs/>
                <w:color w:val="000000"/>
                <w:kern w:val="0"/>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97" w:type="dxa"/>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r>
              <w:rPr>
                <w:rFonts w:hint="eastAsia"/>
                <w:color w:val="000000"/>
                <w:kern w:val="0"/>
                <w:szCs w:val="21"/>
                <w:highlight w:val="none"/>
              </w:rPr>
              <w:t>技术负责人</w:t>
            </w:r>
          </w:p>
        </w:tc>
        <w:tc>
          <w:tcPr>
            <w:tcW w:w="851" w:type="dxa"/>
            <w:vAlign w:val="center"/>
          </w:tcPr>
          <w:p>
            <w:pPr>
              <w:pageBreakBefore w:val="0"/>
              <w:kinsoku/>
              <w:topLinePunct w:val="0"/>
              <w:autoSpaceDE w:val="0"/>
              <w:autoSpaceDN w:val="0"/>
              <w:bidi w:val="0"/>
              <w:adjustRightInd w:val="0"/>
              <w:spacing w:line="360" w:lineRule="auto"/>
              <w:jc w:val="center"/>
              <w:rPr>
                <w:rFonts w:hint="eastAsia"/>
                <w:color w:val="000000"/>
                <w:kern w:val="0"/>
                <w:szCs w:val="21"/>
                <w:highlight w:val="none"/>
              </w:rPr>
            </w:pPr>
            <w:r>
              <w:rPr>
                <w:rFonts w:hint="eastAsia"/>
                <w:color w:val="000000"/>
                <w:kern w:val="0"/>
                <w:szCs w:val="21"/>
                <w:highlight w:val="none"/>
              </w:rPr>
              <w:t>姓名</w:t>
            </w:r>
          </w:p>
        </w:tc>
        <w:tc>
          <w:tcPr>
            <w:tcW w:w="1620" w:type="dxa"/>
            <w:gridSpan w:val="2"/>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p>
        </w:tc>
        <w:tc>
          <w:tcPr>
            <w:tcW w:w="1158" w:type="dxa"/>
            <w:gridSpan w:val="2"/>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r>
              <w:rPr>
                <w:rFonts w:hint="eastAsia"/>
                <w:color w:val="000000"/>
                <w:kern w:val="0"/>
                <w:szCs w:val="21"/>
                <w:highlight w:val="none"/>
              </w:rPr>
              <w:t>技术职称</w:t>
            </w:r>
          </w:p>
        </w:tc>
        <w:tc>
          <w:tcPr>
            <w:tcW w:w="1402" w:type="dxa"/>
            <w:gridSpan w:val="3"/>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p>
        </w:tc>
        <w:tc>
          <w:tcPr>
            <w:tcW w:w="684" w:type="dxa"/>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r>
              <w:rPr>
                <w:rFonts w:hint="eastAsia"/>
                <w:color w:val="000000"/>
                <w:kern w:val="0"/>
                <w:szCs w:val="21"/>
                <w:highlight w:val="none"/>
              </w:rPr>
              <w:t>电话</w:t>
            </w:r>
          </w:p>
        </w:tc>
        <w:tc>
          <w:tcPr>
            <w:tcW w:w="1697" w:type="dxa"/>
            <w:vAlign w:val="center"/>
          </w:tcPr>
          <w:p>
            <w:pPr>
              <w:pageBreakBefore w:val="0"/>
              <w:kinsoku/>
              <w:topLinePunct w:val="0"/>
              <w:autoSpaceDE w:val="0"/>
              <w:autoSpaceDN w:val="0"/>
              <w:bidi w:val="0"/>
              <w:adjustRightInd w:val="0"/>
              <w:spacing w:line="360" w:lineRule="auto"/>
              <w:rPr>
                <w:rFonts w:hint="eastAsia"/>
                <w:b/>
                <w:bCs/>
                <w:color w:val="000000"/>
                <w:kern w:val="0"/>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97" w:type="dxa"/>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r>
              <w:rPr>
                <w:rFonts w:hint="eastAsia"/>
                <w:color w:val="000000"/>
                <w:kern w:val="0"/>
                <w:szCs w:val="21"/>
                <w:highlight w:val="none"/>
              </w:rPr>
              <w:t>成立时间</w:t>
            </w:r>
          </w:p>
        </w:tc>
        <w:tc>
          <w:tcPr>
            <w:tcW w:w="3195" w:type="dxa"/>
            <w:gridSpan w:val="4"/>
            <w:tcBorders>
              <w:right w:val="single" w:color="auto" w:sz="4" w:space="0"/>
            </w:tcBorders>
            <w:vAlign w:val="center"/>
          </w:tcPr>
          <w:p>
            <w:pPr>
              <w:pageBreakBefore w:val="0"/>
              <w:kinsoku/>
              <w:topLinePunct w:val="0"/>
              <w:autoSpaceDE w:val="0"/>
              <w:autoSpaceDN w:val="0"/>
              <w:bidi w:val="0"/>
              <w:adjustRightInd w:val="0"/>
              <w:spacing w:line="360" w:lineRule="auto"/>
              <w:ind w:firstLine="1470" w:firstLineChars="700"/>
              <w:jc w:val="left"/>
              <w:rPr>
                <w:rFonts w:hint="eastAsia"/>
                <w:color w:val="000000"/>
                <w:kern w:val="0"/>
                <w:szCs w:val="21"/>
                <w:highlight w:val="none"/>
              </w:rPr>
            </w:pPr>
          </w:p>
        </w:tc>
        <w:tc>
          <w:tcPr>
            <w:tcW w:w="4217" w:type="dxa"/>
            <w:gridSpan w:val="6"/>
            <w:tcBorders>
              <w:left w:val="single" w:color="auto" w:sz="4" w:space="0"/>
            </w:tcBorders>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r>
              <w:rPr>
                <w:rFonts w:hint="eastAsia"/>
                <w:color w:val="000000"/>
                <w:kern w:val="0"/>
                <w:szCs w:val="21"/>
                <w:highlight w:val="none"/>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97" w:type="dxa"/>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r>
              <w:rPr>
                <w:rFonts w:hint="eastAsia"/>
                <w:color w:val="000000"/>
                <w:kern w:val="0"/>
                <w:szCs w:val="21"/>
                <w:highlight w:val="none"/>
              </w:rPr>
              <w:t>企业资质等级</w:t>
            </w:r>
          </w:p>
        </w:tc>
        <w:tc>
          <w:tcPr>
            <w:tcW w:w="3195" w:type="dxa"/>
            <w:gridSpan w:val="4"/>
            <w:tcBorders>
              <w:right w:val="single" w:color="auto" w:sz="4" w:space="0"/>
            </w:tcBorders>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p>
        </w:tc>
        <w:tc>
          <w:tcPr>
            <w:tcW w:w="900" w:type="dxa"/>
            <w:gridSpan w:val="3"/>
            <w:vMerge w:val="restart"/>
            <w:tcBorders>
              <w:left w:val="single" w:color="auto" w:sz="4" w:space="0"/>
            </w:tcBorders>
            <w:vAlign w:val="center"/>
          </w:tcPr>
          <w:p>
            <w:pPr>
              <w:pageBreakBefore w:val="0"/>
              <w:kinsoku/>
              <w:topLinePunct w:val="0"/>
              <w:autoSpaceDE w:val="0"/>
              <w:autoSpaceDN w:val="0"/>
              <w:bidi w:val="0"/>
              <w:adjustRightInd w:val="0"/>
              <w:spacing w:line="360" w:lineRule="auto"/>
              <w:jc w:val="center"/>
              <w:rPr>
                <w:rFonts w:hint="eastAsia"/>
                <w:color w:val="000000"/>
                <w:kern w:val="0"/>
                <w:szCs w:val="21"/>
                <w:highlight w:val="none"/>
              </w:rPr>
            </w:pPr>
            <w:r>
              <w:rPr>
                <w:rFonts w:hint="eastAsia"/>
                <w:color w:val="000000"/>
                <w:kern w:val="0"/>
                <w:szCs w:val="21"/>
                <w:highlight w:val="none"/>
              </w:rPr>
              <w:t>其中</w:t>
            </w:r>
          </w:p>
        </w:tc>
        <w:tc>
          <w:tcPr>
            <w:tcW w:w="1620" w:type="dxa"/>
            <w:gridSpan w:val="2"/>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r>
              <w:rPr>
                <w:rFonts w:hint="eastAsia"/>
                <w:color w:val="000000"/>
                <w:kern w:val="0"/>
                <w:szCs w:val="21"/>
                <w:highlight w:val="none"/>
              </w:rPr>
              <w:t>项目经理</w:t>
            </w:r>
          </w:p>
        </w:tc>
        <w:tc>
          <w:tcPr>
            <w:tcW w:w="1697" w:type="dxa"/>
            <w:vAlign w:val="center"/>
          </w:tcPr>
          <w:p>
            <w:pPr>
              <w:pageBreakBefore w:val="0"/>
              <w:kinsoku/>
              <w:topLinePunct w:val="0"/>
              <w:autoSpaceDE w:val="0"/>
              <w:autoSpaceDN w:val="0"/>
              <w:bidi w:val="0"/>
              <w:adjustRightInd w:val="0"/>
              <w:spacing w:line="360" w:lineRule="auto"/>
              <w:rPr>
                <w:rFonts w:hint="eastAsia"/>
                <w:b/>
                <w:bCs/>
                <w:color w:val="000000"/>
                <w:kern w:val="0"/>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97" w:type="dxa"/>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r>
              <w:rPr>
                <w:rFonts w:hint="eastAsia"/>
                <w:color w:val="000000"/>
                <w:kern w:val="0"/>
                <w:szCs w:val="21"/>
                <w:highlight w:val="none"/>
              </w:rPr>
              <w:t>营业执照号</w:t>
            </w:r>
          </w:p>
        </w:tc>
        <w:tc>
          <w:tcPr>
            <w:tcW w:w="3195" w:type="dxa"/>
            <w:gridSpan w:val="4"/>
            <w:tcBorders>
              <w:right w:val="single" w:color="auto" w:sz="4" w:space="0"/>
            </w:tcBorders>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p>
        </w:tc>
        <w:tc>
          <w:tcPr>
            <w:tcW w:w="900" w:type="dxa"/>
            <w:gridSpan w:val="3"/>
            <w:vMerge w:val="continue"/>
            <w:tcBorders>
              <w:left w:val="single" w:color="auto" w:sz="4" w:space="0"/>
            </w:tcBorders>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p>
        </w:tc>
        <w:tc>
          <w:tcPr>
            <w:tcW w:w="1620" w:type="dxa"/>
            <w:gridSpan w:val="2"/>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r>
              <w:rPr>
                <w:rFonts w:hint="eastAsia"/>
                <w:color w:val="000000"/>
                <w:kern w:val="0"/>
                <w:szCs w:val="21"/>
                <w:highlight w:val="none"/>
              </w:rPr>
              <w:t>高级职称人员</w:t>
            </w:r>
          </w:p>
        </w:tc>
        <w:tc>
          <w:tcPr>
            <w:tcW w:w="1697" w:type="dxa"/>
            <w:vAlign w:val="center"/>
          </w:tcPr>
          <w:p>
            <w:pPr>
              <w:pageBreakBefore w:val="0"/>
              <w:kinsoku/>
              <w:topLinePunct w:val="0"/>
              <w:autoSpaceDE w:val="0"/>
              <w:autoSpaceDN w:val="0"/>
              <w:bidi w:val="0"/>
              <w:adjustRightInd w:val="0"/>
              <w:spacing w:line="360" w:lineRule="auto"/>
              <w:rPr>
                <w:rFonts w:hint="eastAsia"/>
                <w:b/>
                <w:bCs/>
                <w:color w:val="000000"/>
                <w:kern w:val="0"/>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97" w:type="dxa"/>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r>
              <w:rPr>
                <w:rFonts w:hint="eastAsia"/>
                <w:color w:val="000000"/>
                <w:kern w:val="0"/>
                <w:szCs w:val="21"/>
                <w:highlight w:val="none"/>
              </w:rPr>
              <w:t>注册资金</w:t>
            </w:r>
          </w:p>
        </w:tc>
        <w:tc>
          <w:tcPr>
            <w:tcW w:w="3195" w:type="dxa"/>
            <w:gridSpan w:val="4"/>
            <w:tcBorders>
              <w:right w:val="single" w:color="auto" w:sz="4" w:space="0"/>
            </w:tcBorders>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p>
        </w:tc>
        <w:tc>
          <w:tcPr>
            <w:tcW w:w="900" w:type="dxa"/>
            <w:gridSpan w:val="3"/>
            <w:vMerge w:val="continue"/>
            <w:tcBorders>
              <w:left w:val="single" w:color="auto" w:sz="4" w:space="0"/>
            </w:tcBorders>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p>
        </w:tc>
        <w:tc>
          <w:tcPr>
            <w:tcW w:w="1620" w:type="dxa"/>
            <w:gridSpan w:val="2"/>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r>
              <w:rPr>
                <w:rFonts w:hint="eastAsia"/>
                <w:color w:val="000000"/>
                <w:kern w:val="0"/>
                <w:szCs w:val="21"/>
                <w:highlight w:val="none"/>
              </w:rPr>
              <w:t>中级职称人员</w:t>
            </w:r>
          </w:p>
        </w:tc>
        <w:tc>
          <w:tcPr>
            <w:tcW w:w="1697" w:type="dxa"/>
            <w:vAlign w:val="center"/>
          </w:tcPr>
          <w:p>
            <w:pPr>
              <w:pageBreakBefore w:val="0"/>
              <w:kinsoku/>
              <w:topLinePunct w:val="0"/>
              <w:autoSpaceDE w:val="0"/>
              <w:autoSpaceDN w:val="0"/>
              <w:bidi w:val="0"/>
              <w:adjustRightInd w:val="0"/>
              <w:spacing w:line="360" w:lineRule="auto"/>
              <w:rPr>
                <w:rFonts w:hint="eastAsia"/>
                <w:b/>
                <w:bCs/>
                <w:color w:val="000000"/>
                <w:kern w:val="0"/>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97" w:type="dxa"/>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r>
              <w:rPr>
                <w:rFonts w:hint="eastAsia"/>
                <w:color w:val="000000"/>
                <w:kern w:val="0"/>
                <w:szCs w:val="21"/>
                <w:highlight w:val="none"/>
              </w:rPr>
              <w:t>开户银行</w:t>
            </w:r>
          </w:p>
        </w:tc>
        <w:tc>
          <w:tcPr>
            <w:tcW w:w="3195" w:type="dxa"/>
            <w:gridSpan w:val="4"/>
            <w:tcBorders>
              <w:right w:val="single" w:color="auto" w:sz="4" w:space="0"/>
            </w:tcBorders>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p>
        </w:tc>
        <w:tc>
          <w:tcPr>
            <w:tcW w:w="900" w:type="dxa"/>
            <w:gridSpan w:val="3"/>
            <w:vMerge w:val="continue"/>
            <w:tcBorders>
              <w:left w:val="single" w:color="auto" w:sz="4" w:space="0"/>
            </w:tcBorders>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p>
        </w:tc>
        <w:tc>
          <w:tcPr>
            <w:tcW w:w="1620" w:type="dxa"/>
            <w:gridSpan w:val="2"/>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r>
              <w:rPr>
                <w:rFonts w:hint="eastAsia"/>
                <w:color w:val="000000"/>
                <w:kern w:val="0"/>
                <w:szCs w:val="21"/>
                <w:highlight w:val="none"/>
              </w:rPr>
              <w:t>初级职称人员</w:t>
            </w:r>
          </w:p>
        </w:tc>
        <w:tc>
          <w:tcPr>
            <w:tcW w:w="1697" w:type="dxa"/>
            <w:vAlign w:val="center"/>
          </w:tcPr>
          <w:p>
            <w:pPr>
              <w:pageBreakBefore w:val="0"/>
              <w:kinsoku/>
              <w:topLinePunct w:val="0"/>
              <w:autoSpaceDE w:val="0"/>
              <w:autoSpaceDN w:val="0"/>
              <w:bidi w:val="0"/>
              <w:adjustRightInd w:val="0"/>
              <w:spacing w:line="360" w:lineRule="auto"/>
              <w:rPr>
                <w:rFonts w:hint="eastAsia"/>
                <w:b/>
                <w:bCs/>
                <w:color w:val="000000"/>
                <w:kern w:val="0"/>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97" w:type="dxa"/>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r>
              <w:rPr>
                <w:rFonts w:hint="eastAsia"/>
                <w:color w:val="000000"/>
                <w:kern w:val="0"/>
                <w:szCs w:val="21"/>
                <w:highlight w:val="none"/>
              </w:rPr>
              <w:t>账号</w:t>
            </w:r>
          </w:p>
        </w:tc>
        <w:tc>
          <w:tcPr>
            <w:tcW w:w="3195" w:type="dxa"/>
            <w:gridSpan w:val="4"/>
            <w:tcBorders>
              <w:right w:val="single" w:color="auto" w:sz="4" w:space="0"/>
            </w:tcBorders>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p>
        </w:tc>
        <w:tc>
          <w:tcPr>
            <w:tcW w:w="900" w:type="dxa"/>
            <w:gridSpan w:val="3"/>
            <w:vMerge w:val="continue"/>
            <w:tcBorders>
              <w:left w:val="single" w:color="auto" w:sz="4" w:space="0"/>
            </w:tcBorders>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p>
        </w:tc>
        <w:tc>
          <w:tcPr>
            <w:tcW w:w="1620" w:type="dxa"/>
            <w:gridSpan w:val="2"/>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r>
              <w:rPr>
                <w:rFonts w:hint="eastAsia"/>
                <w:color w:val="000000"/>
                <w:kern w:val="0"/>
                <w:szCs w:val="21"/>
                <w:highlight w:val="none"/>
              </w:rPr>
              <w:t>普通职工</w:t>
            </w:r>
          </w:p>
        </w:tc>
        <w:tc>
          <w:tcPr>
            <w:tcW w:w="1697" w:type="dxa"/>
            <w:vAlign w:val="center"/>
          </w:tcPr>
          <w:p>
            <w:pPr>
              <w:pageBreakBefore w:val="0"/>
              <w:kinsoku/>
              <w:topLinePunct w:val="0"/>
              <w:autoSpaceDE w:val="0"/>
              <w:autoSpaceDN w:val="0"/>
              <w:bidi w:val="0"/>
              <w:adjustRightInd w:val="0"/>
              <w:spacing w:line="360" w:lineRule="auto"/>
              <w:rPr>
                <w:rFonts w:hint="eastAsia"/>
                <w:b/>
                <w:bCs/>
                <w:color w:val="000000"/>
                <w:kern w:val="0"/>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442" w:hRule="atLeast"/>
          <w:jc w:val="center"/>
        </w:trPr>
        <w:tc>
          <w:tcPr>
            <w:tcW w:w="1597" w:type="dxa"/>
            <w:vAlign w:val="center"/>
          </w:tcPr>
          <w:p>
            <w:pPr>
              <w:pageBreakBefore w:val="0"/>
              <w:kinsoku/>
              <w:topLinePunct w:val="0"/>
              <w:autoSpaceDE w:val="0"/>
              <w:autoSpaceDN w:val="0"/>
              <w:bidi w:val="0"/>
              <w:adjustRightInd w:val="0"/>
              <w:spacing w:line="360" w:lineRule="auto"/>
              <w:rPr>
                <w:rFonts w:hint="eastAsia"/>
                <w:color w:val="000000"/>
                <w:kern w:val="0"/>
                <w:szCs w:val="21"/>
                <w:highlight w:val="none"/>
              </w:rPr>
            </w:pPr>
            <w:r>
              <w:rPr>
                <w:rFonts w:hint="eastAsia"/>
                <w:color w:val="000000"/>
                <w:kern w:val="0"/>
                <w:szCs w:val="21"/>
                <w:highlight w:val="none"/>
              </w:rPr>
              <w:t>经营范围</w:t>
            </w:r>
          </w:p>
        </w:tc>
        <w:tc>
          <w:tcPr>
            <w:tcW w:w="7412" w:type="dxa"/>
            <w:gridSpan w:val="10"/>
            <w:vAlign w:val="center"/>
          </w:tcPr>
          <w:p>
            <w:pPr>
              <w:pageBreakBefore w:val="0"/>
              <w:kinsoku/>
              <w:topLinePunct w:val="0"/>
              <w:autoSpaceDE w:val="0"/>
              <w:autoSpaceDN w:val="0"/>
              <w:bidi w:val="0"/>
              <w:adjustRightInd w:val="0"/>
              <w:spacing w:line="360" w:lineRule="auto"/>
              <w:rPr>
                <w:rFonts w:hint="eastAsia"/>
                <w:b/>
                <w:bCs/>
                <w:color w:val="000000"/>
                <w:kern w:val="0"/>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jc w:val="center"/>
        </w:trPr>
        <w:tc>
          <w:tcPr>
            <w:tcW w:w="1597" w:type="dxa"/>
          </w:tcPr>
          <w:p>
            <w:pPr>
              <w:pageBreakBefore w:val="0"/>
              <w:kinsoku/>
              <w:topLinePunct w:val="0"/>
              <w:autoSpaceDE w:val="0"/>
              <w:autoSpaceDN w:val="0"/>
              <w:bidi w:val="0"/>
              <w:adjustRightInd w:val="0"/>
              <w:spacing w:line="360" w:lineRule="auto"/>
              <w:rPr>
                <w:rFonts w:hint="eastAsia"/>
                <w:color w:val="000000"/>
                <w:kern w:val="0"/>
                <w:szCs w:val="21"/>
                <w:highlight w:val="none"/>
              </w:rPr>
            </w:pPr>
            <w:r>
              <w:rPr>
                <w:rFonts w:hint="eastAsia"/>
                <w:color w:val="000000"/>
                <w:kern w:val="0"/>
                <w:szCs w:val="21"/>
                <w:highlight w:val="none"/>
              </w:rPr>
              <w:t>备注</w:t>
            </w:r>
          </w:p>
        </w:tc>
        <w:tc>
          <w:tcPr>
            <w:tcW w:w="7412" w:type="dxa"/>
            <w:gridSpan w:val="10"/>
          </w:tcPr>
          <w:p>
            <w:pPr>
              <w:pageBreakBefore w:val="0"/>
              <w:kinsoku/>
              <w:topLinePunct w:val="0"/>
              <w:autoSpaceDE w:val="0"/>
              <w:autoSpaceDN w:val="0"/>
              <w:bidi w:val="0"/>
              <w:adjustRightInd w:val="0"/>
              <w:spacing w:line="360" w:lineRule="auto"/>
              <w:rPr>
                <w:rFonts w:hint="eastAsia"/>
                <w:color w:val="000000"/>
                <w:kern w:val="0"/>
                <w:szCs w:val="21"/>
                <w:highlight w:val="none"/>
              </w:rPr>
            </w:pPr>
          </w:p>
        </w:tc>
      </w:tr>
    </w:tbl>
    <w:p>
      <w:pPr>
        <w:pageBreakBefore w:val="0"/>
        <w:kinsoku/>
        <w:topLinePunct w:val="0"/>
        <w:bidi w:val="0"/>
        <w:adjustRightInd w:val="0"/>
        <w:spacing w:line="360" w:lineRule="auto"/>
        <w:ind w:firstLine="420" w:firstLineChars="175"/>
        <w:rPr>
          <w:rFonts w:hint="eastAsia"/>
          <w:bCs/>
          <w:color w:val="000000"/>
          <w:sz w:val="24"/>
          <w:highlight w:val="none"/>
        </w:rPr>
      </w:pPr>
    </w:p>
    <w:p>
      <w:pPr>
        <w:pageBreakBefore w:val="0"/>
        <w:kinsoku/>
        <w:topLinePunct w:val="0"/>
        <w:bidi w:val="0"/>
        <w:adjustRightInd w:val="0"/>
        <w:spacing w:line="360" w:lineRule="auto"/>
        <w:ind w:firstLine="420" w:firstLineChars="175"/>
        <w:rPr>
          <w:rFonts w:hint="eastAsia"/>
          <w:bCs/>
          <w:color w:val="000000"/>
          <w:sz w:val="24"/>
          <w:highlight w:val="none"/>
        </w:rPr>
      </w:pPr>
      <w:r>
        <w:rPr>
          <w:rFonts w:hint="eastAsia"/>
          <w:bCs/>
          <w:color w:val="000000"/>
          <w:sz w:val="24"/>
          <w:highlight w:val="none"/>
          <w:lang w:eastAsia="zh-CN"/>
        </w:rPr>
        <w:t>供应商</w:t>
      </w:r>
      <w:r>
        <w:rPr>
          <w:rFonts w:hint="eastAsia"/>
          <w:bCs/>
          <w:color w:val="000000"/>
          <w:sz w:val="24"/>
          <w:highlight w:val="none"/>
        </w:rPr>
        <w:t>名称：（</w:t>
      </w:r>
      <w:r>
        <w:rPr>
          <w:rFonts w:hint="eastAsia" w:eastAsia="宋体"/>
          <w:iCs/>
          <w:color w:val="000000"/>
          <w:szCs w:val="21"/>
          <w:highlight w:val="none"/>
        </w:rPr>
        <w:t>填写</w:t>
      </w:r>
      <w:r>
        <w:rPr>
          <w:rFonts w:hint="eastAsia" w:eastAsia="宋体"/>
          <w:iCs/>
          <w:color w:val="000000"/>
          <w:szCs w:val="21"/>
          <w:highlight w:val="none"/>
          <w:lang w:eastAsia="zh-CN"/>
        </w:rPr>
        <w:t>单位全称</w:t>
      </w:r>
      <w:r>
        <w:rPr>
          <w:rFonts w:hint="eastAsia" w:eastAsia="宋体"/>
          <w:iCs/>
          <w:color w:val="000000"/>
          <w:szCs w:val="21"/>
          <w:highlight w:val="none"/>
        </w:rPr>
        <w:t>并</w:t>
      </w:r>
      <w:r>
        <w:rPr>
          <w:rFonts w:hint="eastAsia" w:eastAsia="宋体"/>
          <w:iCs/>
          <w:color w:val="000000"/>
          <w:szCs w:val="21"/>
          <w:highlight w:val="none"/>
          <w:lang w:eastAsia="zh-CN"/>
        </w:rPr>
        <w:t>加盖公章</w:t>
      </w:r>
      <w:r>
        <w:rPr>
          <w:rFonts w:hint="eastAsia"/>
          <w:bCs/>
          <w:color w:val="000000"/>
          <w:sz w:val="24"/>
          <w:highlight w:val="none"/>
        </w:rPr>
        <w:t>）</w:t>
      </w:r>
    </w:p>
    <w:p>
      <w:pPr>
        <w:pageBreakBefore w:val="0"/>
        <w:kinsoku/>
        <w:topLinePunct w:val="0"/>
        <w:bidi w:val="0"/>
        <w:adjustRightInd w:val="0"/>
        <w:spacing w:line="360" w:lineRule="auto"/>
        <w:ind w:firstLine="420" w:firstLineChars="175"/>
        <w:rPr>
          <w:rFonts w:hint="eastAsia"/>
          <w:color w:val="000000"/>
          <w:sz w:val="24"/>
          <w:highlight w:val="none"/>
        </w:rPr>
      </w:pPr>
    </w:p>
    <w:p>
      <w:pPr>
        <w:pageBreakBefore w:val="0"/>
        <w:kinsoku/>
        <w:topLinePunct w:val="0"/>
        <w:bidi w:val="0"/>
        <w:adjustRightInd w:val="0"/>
        <w:spacing w:line="360" w:lineRule="auto"/>
        <w:ind w:firstLine="420" w:firstLineChars="175"/>
        <w:rPr>
          <w:rFonts w:hint="eastAsia"/>
          <w:bCs/>
          <w:color w:val="000000"/>
          <w:sz w:val="24"/>
          <w:highlight w:val="none"/>
        </w:rPr>
      </w:pPr>
      <w:r>
        <w:rPr>
          <w:rFonts w:hint="eastAsia"/>
          <w:color w:val="000000"/>
          <w:sz w:val="24"/>
          <w:highlight w:val="none"/>
        </w:rPr>
        <w:t>法定代表人或授权代表</w:t>
      </w:r>
      <w:r>
        <w:rPr>
          <w:rFonts w:hint="eastAsia"/>
          <w:bCs/>
          <w:color w:val="000000"/>
          <w:sz w:val="24"/>
          <w:highlight w:val="none"/>
        </w:rPr>
        <w:t>：</w:t>
      </w:r>
      <w:r>
        <w:rPr>
          <w:rFonts w:hint="eastAsia"/>
          <w:iCs/>
          <w:color w:val="000000"/>
          <w:sz w:val="24"/>
          <w:szCs w:val="21"/>
          <w:highlight w:val="none"/>
        </w:rPr>
        <w:t>（签字或盖章）</w:t>
      </w:r>
    </w:p>
    <w:p>
      <w:pPr>
        <w:pageBreakBefore w:val="0"/>
        <w:kinsoku/>
        <w:topLinePunct w:val="0"/>
        <w:bidi w:val="0"/>
        <w:adjustRightInd w:val="0"/>
        <w:spacing w:line="360" w:lineRule="auto"/>
        <w:ind w:firstLine="420" w:firstLineChars="175"/>
        <w:rPr>
          <w:rFonts w:hint="eastAsia"/>
          <w:bCs/>
          <w:color w:val="000000"/>
          <w:sz w:val="24"/>
          <w:highlight w:val="none"/>
        </w:rPr>
      </w:pPr>
    </w:p>
    <w:p>
      <w:pPr>
        <w:pageBreakBefore w:val="0"/>
        <w:kinsoku/>
        <w:topLinePunct w:val="0"/>
        <w:bidi w:val="0"/>
        <w:adjustRightInd w:val="0"/>
        <w:spacing w:line="360" w:lineRule="auto"/>
        <w:ind w:firstLine="420" w:firstLineChars="175"/>
        <w:rPr>
          <w:rFonts w:hint="eastAsia"/>
          <w:bCs/>
          <w:color w:val="000000"/>
          <w:sz w:val="24"/>
          <w:highlight w:val="none"/>
        </w:rPr>
      </w:pPr>
      <w:r>
        <w:rPr>
          <w:rFonts w:hint="eastAsia"/>
          <w:bCs/>
          <w:color w:val="000000"/>
          <w:sz w:val="24"/>
          <w:highlight w:val="none"/>
        </w:rPr>
        <w:t>日期：</w:t>
      </w:r>
    </w:p>
    <w:p>
      <w:pPr>
        <w:pStyle w:val="2"/>
        <w:keepNext w:val="0"/>
        <w:keepLines w:val="0"/>
        <w:pageBreakBefore w:val="0"/>
        <w:numPr>
          <w:ilvl w:val="1"/>
          <w:numId w:val="10"/>
        </w:numPr>
        <w:tabs>
          <w:tab w:val="left" w:pos="360"/>
          <w:tab w:val="left" w:pos="540"/>
          <w:tab w:val="clear" w:pos="780"/>
        </w:tabs>
        <w:kinsoku/>
        <w:topLinePunct w:val="0"/>
        <w:bidi w:val="0"/>
        <w:spacing w:before="160" w:beforeLines="50" w:beforeAutospacing="0" w:after="160" w:afterLines="50" w:afterAutospacing="0" w:line="360" w:lineRule="auto"/>
        <w:ind w:left="0" w:firstLine="0"/>
        <w:jc w:val="center"/>
        <w:rPr>
          <w:rFonts w:hint="eastAsia" w:ascii="Times New Roman" w:hAnsi="Times New Roman" w:eastAsia="宋体"/>
          <w:color w:val="000000"/>
          <w:highlight w:val="none"/>
        </w:rPr>
      </w:pPr>
      <w:r>
        <w:rPr>
          <w:rFonts w:ascii="Times New Roman" w:hAnsi="Times New Roman" w:eastAsia="宋体"/>
          <w:color w:val="000000"/>
          <w:sz w:val="24"/>
          <w:highlight w:val="none"/>
        </w:rPr>
        <w:br w:type="page"/>
      </w:r>
      <w:bookmarkStart w:id="206" w:name="_Toc317237639"/>
      <w:bookmarkStart w:id="207" w:name="_Toc10337"/>
      <w:bookmarkStart w:id="208" w:name="_Toc57"/>
      <w:r>
        <w:rPr>
          <w:rFonts w:hint="eastAsia" w:ascii="Times New Roman" w:hAnsi="Times New Roman" w:eastAsia="宋体"/>
          <w:color w:val="000000"/>
          <w:sz w:val="32"/>
          <w:highlight w:val="none"/>
        </w:rPr>
        <w:t>资格证明文件</w:t>
      </w:r>
      <w:bookmarkEnd w:id="206"/>
      <w:bookmarkEnd w:id="207"/>
      <w:bookmarkEnd w:id="208"/>
    </w:p>
    <w:p>
      <w:pPr>
        <w:pStyle w:val="2"/>
        <w:keepNext w:val="0"/>
        <w:keepLines w:val="0"/>
        <w:pageBreakBefore w:val="0"/>
        <w:tabs>
          <w:tab w:val="left" w:pos="360"/>
          <w:tab w:val="left" w:pos="540"/>
        </w:tabs>
        <w:kinsoku/>
        <w:topLinePunct w:val="0"/>
        <w:bidi w:val="0"/>
        <w:spacing w:before="160" w:beforeLines="50" w:beforeAutospacing="0" w:after="160" w:afterLines="50" w:afterAutospacing="0" w:line="360" w:lineRule="auto"/>
        <w:rPr>
          <w:rFonts w:hint="eastAsia" w:ascii="Times New Roman" w:hAnsi="Times New Roman" w:eastAsia="宋体"/>
          <w:color w:val="000000"/>
          <w:highlight w:val="none"/>
        </w:rPr>
      </w:pPr>
      <w:r>
        <w:rPr>
          <w:rFonts w:hint="eastAsia" w:ascii="Times New Roman" w:hAnsi="Times New Roman" w:eastAsia="宋体"/>
          <w:color w:val="000000"/>
          <w:sz w:val="24"/>
          <w:highlight w:val="none"/>
        </w:rPr>
        <w:br w:type="page"/>
      </w:r>
      <w:bookmarkStart w:id="209" w:name="_Toc14289"/>
      <w:bookmarkStart w:id="210" w:name="_Toc104"/>
      <w:bookmarkStart w:id="211" w:name="_Toc15255"/>
      <w:r>
        <w:rPr>
          <w:rFonts w:hint="eastAsia" w:ascii="Times New Roman" w:hAnsi="Times New Roman" w:eastAsia="宋体"/>
          <w:color w:val="000000"/>
          <w:sz w:val="32"/>
          <w:highlight w:val="none"/>
        </w:rPr>
        <w:t>附件</w:t>
      </w:r>
      <w:r>
        <w:rPr>
          <w:rFonts w:hint="eastAsia" w:ascii="Times New Roman" w:hAnsi="Times New Roman" w:eastAsia="宋体"/>
          <w:color w:val="000000"/>
          <w:sz w:val="32"/>
          <w:highlight w:val="none"/>
          <w:lang w:val="en-US" w:eastAsia="zh-CN"/>
        </w:rPr>
        <w:t>1</w:t>
      </w:r>
      <w:r>
        <w:rPr>
          <w:rFonts w:hint="eastAsia" w:ascii="Times New Roman" w:hAnsi="Times New Roman" w:eastAsia="宋体"/>
          <w:color w:val="000000"/>
          <w:sz w:val="32"/>
          <w:highlight w:val="none"/>
        </w:rPr>
        <w:t>：无重大违法记录的书面声明</w:t>
      </w:r>
      <w:bookmarkEnd w:id="209"/>
      <w:bookmarkEnd w:id="210"/>
      <w:bookmarkEnd w:id="211"/>
    </w:p>
    <w:p>
      <w:pPr>
        <w:pageBreakBefore w:val="0"/>
        <w:kinsoku/>
        <w:topLinePunct w:val="0"/>
        <w:bidi w:val="0"/>
        <w:adjustRightInd w:val="0"/>
        <w:snapToGrid w:val="0"/>
        <w:spacing w:line="360" w:lineRule="auto"/>
        <w:rPr>
          <w:rFonts w:hint="eastAsia"/>
          <w:color w:val="000000"/>
          <w:highlight w:val="none"/>
        </w:rPr>
      </w:pPr>
    </w:p>
    <w:p>
      <w:pPr>
        <w:pStyle w:val="6"/>
        <w:pageBreakBefore w:val="0"/>
        <w:kinsoku/>
        <w:overflowPunct w:val="0"/>
        <w:topLinePunct w:val="0"/>
        <w:bidi w:val="0"/>
        <w:spacing w:line="360" w:lineRule="auto"/>
        <w:ind w:firstLine="0"/>
        <w:jc w:val="center"/>
        <w:rPr>
          <w:rFonts w:hint="eastAsia" w:eastAsia="宋体"/>
          <w:b/>
          <w:color w:val="000000"/>
          <w:sz w:val="32"/>
          <w:szCs w:val="32"/>
          <w:highlight w:val="none"/>
        </w:rPr>
      </w:pPr>
      <w:r>
        <w:rPr>
          <w:rFonts w:hint="eastAsia" w:eastAsia="宋体"/>
          <w:b/>
          <w:color w:val="000000"/>
          <w:sz w:val="32"/>
          <w:szCs w:val="32"/>
          <w:highlight w:val="none"/>
        </w:rPr>
        <w:t>无重大违法记录的书面声明</w:t>
      </w:r>
    </w:p>
    <w:p>
      <w:pPr>
        <w:pageBreakBefore w:val="0"/>
        <w:kinsoku/>
        <w:topLinePunct w:val="0"/>
        <w:bidi w:val="0"/>
        <w:adjustRightInd w:val="0"/>
        <w:snapToGrid w:val="0"/>
        <w:spacing w:line="360" w:lineRule="auto"/>
        <w:rPr>
          <w:rFonts w:hint="eastAsia"/>
          <w:color w:val="000000"/>
          <w:highlight w:val="none"/>
        </w:rPr>
      </w:pPr>
    </w:p>
    <w:p>
      <w:pPr>
        <w:pageBreakBefore w:val="0"/>
        <w:kinsoku/>
        <w:topLinePunct w:val="0"/>
        <w:bidi w:val="0"/>
        <w:spacing w:line="360" w:lineRule="auto"/>
        <w:rPr>
          <w:rFonts w:hint="eastAsia"/>
          <w:color w:val="000000"/>
          <w:sz w:val="24"/>
          <w:highlight w:val="none"/>
        </w:rPr>
      </w:pPr>
      <w:r>
        <w:rPr>
          <w:rFonts w:hint="eastAsia"/>
          <w:color w:val="000000"/>
          <w:sz w:val="24"/>
          <w:highlight w:val="none"/>
        </w:rPr>
        <w:t>致：</w:t>
      </w:r>
      <w:r>
        <w:rPr>
          <w:rFonts w:hint="eastAsia"/>
          <w:color w:val="000000"/>
          <w:sz w:val="24"/>
          <w:highlight w:val="none"/>
          <w:u w:val="single"/>
        </w:rPr>
        <w:t xml:space="preserve"> </w:t>
      </w:r>
      <w:r>
        <w:rPr>
          <w:rFonts w:hint="eastAsia"/>
          <w:color w:val="000000"/>
          <w:sz w:val="24"/>
          <w:highlight w:val="none"/>
          <w:u w:val="single"/>
          <w:lang w:eastAsia="zh-CN"/>
        </w:rPr>
        <w:t>白沙黎族自治县教育局</w:t>
      </w:r>
      <w:r>
        <w:rPr>
          <w:rFonts w:hint="eastAsia"/>
          <w:color w:val="000000"/>
          <w:sz w:val="24"/>
          <w:highlight w:val="none"/>
          <w:u w:val="single"/>
        </w:rPr>
        <w:t xml:space="preserve"> </w:t>
      </w:r>
    </w:p>
    <w:p>
      <w:pPr>
        <w:pageBreakBefore w:val="0"/>
        <w:kinsoku/>
        <w:topLinePunct w:val="0"/>
        <w:bidi w:val="0"/>
        <w:spacing w:line="360" w:lineRule="auto"/>
        <w:ind w:firstLine="480" w:firstLineChars="200"/>
        <w:rPr>
          <w:rFonts w:hint="eastAsia"/>
          <w:color w:val="000000"/>
          <w:sz w:val="24"/>
          <w:highlight w:val="none"/>
        </w:rPr>
      </w:pPr>
      <w:r>
        <w:rPr>
          <w:rFonts w:hint="eastAsia"/>
          <w:color w:val="000000"/>
          <w:sz w:val="24"/>
          <w:highlight w:val="none"/>
        </w:rPr>
        <w:t>我公司参加政府采购活动前3年内在经营活动中没有重大违法记录，特此声明。</w:t>
      </w:r>
    </w:p>
    <w:p>
      <w:pPr>
        <w:pageBreakBefore w:val="0"/>
        <w:kinsoku/>
        <w:topLinePunct w:val="0"/>
        <w:bidi w:val="0"/>
        <w:spacing w:line="360" w:lineRule="auto"/>
        <w:ind w:firstLine="480" w:firstLineChars="200"/>
        <w:rPr>
          <w:rFonts w:hint="eastAsia"/>
          <w:color w:val="000000"/>
          <w:sz w:val="24"/>
          <w:highlight w:val="none"/>
        </w:rPr>
      </w:pPr>
      <w:r>
        <w:rPr>
          <w:rFonts w:hint="eastAsia"/>
          <w:color w:val="000000"/>
          <w:sz w:val="24"/>
          <w:highlight w:val="none"/>
        </w:rPr>
        <w:t>若在采购过程中发现我公司近3年内在经营活动中有重大违法记录的，我公司将承担因此引起的一切后果。</w:t>
      </w:r>
    </w:p>
    <w:p>
      <w:pPr>
        <w:pageBreakBefore w:val="0"/>
        <w:kinsoku/>
        <w:topLinePunct w:val="0"/>
        <w:bidi w:val="0"/>
        <w:adjustRightInd w:val="0"/>
        <w:spacing w:line="360" w:lineRule="auto"/>
        <w:ind w:firstLine="480" w:firstLineChars="200"/>
        <w:rPr>
          <w:rFonts w:hint="eastAsia"/>
          <w:color w:val="000000"/>
          <w:sz w:val="24"/>
          <w:highlight w:val="none"/>
        </w:rPr>
      </w:pPr>
    </w:p>
    <w:p>
      <w:pPr>
        <w:pageBreakBefore w:val="0"/>
        <w:kinsoku/>
        <w:topLinePunct w:val="0"/>
        <w:bidi w:val="0"/>
        <w:adjustRightInd w:val="0"/>
        <w:spacing w:line="360" w:lineRule="auto"/>
        <w:ind w:firstLine="480" w:firstLineChars="200"/>
        <w:rPr>
          <w:rFonts w:hint="eastAsia"/>
          <w:color w:val="000000"/>
          <w:sz w:val="24"/>
          <w:highlight w:val="none"/>
        </w:rPr>
      </w:pPr>
    </w:p>
    <w:p>
      <w:pPr>
        <w:pageBreakBefore w:val="0"/>
        <w:kinsoku/>
        <w:topLinePunct w:val="0"/>
        <w:bidi w:val="0"/>
        <w:adjustRightInd w:val="0"/>
        <w:spacing w:line="360" w:lineRule="auto"/>
        <w:ind w:firstLine="480" w:firstLineChars="200"/>
        <w:rPr>
          <w:rFonts w:hint="eastAsia"/>
          <w:color w:val="000000"/>
          <w:sz w:val="24"/>
          <w:highlight w:val="none"/>
        </w:rPr>
      </w:pPr>
    </w:p>
    <w:p>
      <w:pPr>
        <w:pageBreakBefore w:val="0"/>
        <w:kinsoku/>
        <w:topLinePunct w:val="0"/>
        <w:bidi w:val="0"/>
        <w:adjustRightInd w:val="0"/>
        <w:spacing w:line="360" w:lineRule="auto"/>
        <w:ind w:firstLine="480" w:firstLineChars="200"/>
        <w:rPr>
          <w:rFonts w:hint="eastAsia"/>
          <w:bCs/>
          <w:color w:val="000000"/>
          <w:sz w:val="24"/>
          <w:highlight w:val="none"/>
        </w:rPr>
      </w:pPr>
      <w:r>
        <w:rPr>
          <w:rFonts w:hint="eastAsia"/>
          <w:color w:val="000000"/>
          <w:sz w:val="24"/>
          <w:highlight w:val="none"/>
          <w:lang w:eastAsia="zh-CN"/>
        </w:rPr>
        <w:t>供应商名称</w:t>
      </w:r>
      <w:r>
        <w:rPr>
          <w:rFonts w:hint="eastAsia"/>
          <w:color w:val="000000"/>
          <w:sz w:val="24"/>
          <w:highlight w:val="none"/>
        </w:rPr>
        <w:t>：（填写</w:t>
      </w:r>
      <w:r>
        <w:rPr>
          <w:rFonts w:hint="eastAsia"/>
          <w:color w:val="000000"/>
          <w:sz w:val="24"/>
          <w:highlight w:val="none"/>
          <w:lang w:eastAsia="zh-CN"/>
        </w:rPr>
        <w:t>单位</w:t>
      </w:r>
      <w:r>
        <w:rPr>
          <w:rFonts w:hint="eastAsia"/>
          <w:color w:val="000000"/>
          <w:sz w:val="24"/>
          <w:highlight w:val="none"/>
        </w:rPr>
        <w:t>名称并</w:t>
      </w:r>
      <w:r>
        <w:rPr>
          <w:rFonts w:hint="eastAsia"/>
          <w:color w:val="000000"/>
          <w:sz w:val="24"/>
          <w:highlight w:val="none"/>
          <w:lang w:eastAsia="zh-CN"/>
        </w:rPr>
        <w:t>加盖公章</w:t>
      </w:r>
      <w:r>
        <w:rPr>
          <w:rFonts w:hint="eastAsia"/>
          <w:color w:val="000000"/>
          <w:sz w:val="24"/>
          <w:highlight w:val="none"/>
        </w:rPr>
        <w:t>）</w:t>
      </w:r>
    </w:p>
    <w:p>
      <w:pPr>
        <w:pageBreakBefore w:val="0"/>
        <w:kinsoku/>
        <w:topLinePunct w:val="0"/>
        <w:bidi w:val="0"/>
        <w:adjustRightInd w:val="0"/>
        <w:spacing w:line="360" w:lineRule="auto"/>
        <w:ind w:firstLine="480" w:firstLineChars="200"/>
        <w:rPr>
          <w:rFonts w:hint="eastAsia"/>
          <w:color w:val="000000"/>
          <w:sz w:val="24"/>
          <w:highlight w:val="none"/>
        </w:rPr>
      </w:pPr>
    </w:p>
    <w:p>
      <w:pPr>
        <w:pageBreakBefore w:val="0"/>
        <w:kinsoku/>
        <w:topLinePunct w:val="0"/>
        <w:bidi w:val="0"/>
        <w:adjustRightInd w:val="0"/>
        <w:spacing w:line="360" w:lineRule="auto"/>
        <w:ind w:firstLine="480" w:firstLineChars="200"/>
        <w:rPr>
          <w:rFonts w:hint="eastAsia"/>
          <w:bCs/>
          <w:color w:val="000000"/>
          <w:sz w:val="24"/>
          <w:highlight w:val="none"/>
        </w:rPr>
      </w:pPr>
      <w:r>
        <w:rPr>
          <w:rFonts w:hint="eastAsia"/>
          <w:color w:val="000000"/>
          <w:sz w:val="24"/>
          <w:highlight w:val="none"/>
        </w:rPr>
        <w:t>法定代表人或授权代表</w:t>
      </w:r>
      <w:r>
        <w:rPr>
          <w:rFonts w:hint="eastAsia"/>
          <w:bCs/>
          <w:color w:val="000000"/>
          <w:sz w:val="24"/>
          <w:highlight w:val="none"/>
        </w:rPr>
        <w:t>：</w:t>
      </w:r>
      <w:r>
        <w:rPr>
          <w:rFonts w:hint="eastAsia"/>
          <w:iCs/>
          <w:color w:val="000000"/>
          <w:sz w:val="24"/>
          <w:szCs w:val="21"/>
          <w:highlight w:val="none"/>
        </w:rPr>
        <w:t>（签字或盖章）</w:t>
      </w:r>
    </w:p>
    <w:p>
      <w:pPr>
        <w:pageBreakBefore w:val="0"/>
        <w:kinsoku/>
        <w:topLinePunct w:val="0"/>
        <w:bidi w:val="0"/>
        <w:adjustRightInd w:val="0"/>
        <w:spacing w:line="360" w:lineRule="auto"/>
        <w:ind w:firstLine="480" w:firstLineChars="200"/>
        <w:rPr>
          <w:rFonts w:hint="eastAsia"/>
          <w:bCs/>
          <w:color w:val="000000"/>
          <w:sz w:val="24"/>
          <w:highlight w:val="none"/>
        </w:rPr>
      </w:pPr>
    </w:p>
    <w:p>
      <w:pPr>
        <w:pageBreakBefore w:val="0"/>
        <w:kinsoku/>
        <w:topLinePunct w:val="0"/>
        <w:bidi w:val="0"/>
        <w:adjustRightInd w:val="0"/>
        <w:spacing w:line="360" w:lineRule="auto"/>
        <w:ind w:firstLine="480" w:firstLineChars="200"/>
        <w:rPr>
          <w:rFonts w:hint="eastAsia"/>
          <w:color w:val="000000"/>
          <w:sz w:val="24"/>
          <w:highlight w:val="none"/>
        </w:rPr>
      </w:pPr>
    </w:p>
    <w:p>
      <w:pPr>
        <w:pageBreakBefore w:val="0"/>
        <w:kinsoku/>
        <w:topLinePunct w:val="0"/>
        <w:bidi w:val="0"/>
        <w:adjustRightInd w:val="0"/>
        <w:spacing w:line="360" w:lineRule="auto"/>
        <w:ind w:firstLine="480" w:firstLineChars="200"/>
        <w:rPr>
          <w:rFonts w:hint="eastAsia"/>
          <w:color w:val="000000"/>
          <w:sz w:val="24"/>
          <w:highlight w:val="none"/>
        </w:rPr>
      </w:pPr>
      <w:r>
        <w:rPr>
          <w:rFonts w:hint="eastAsia"/>
          <w:color w:val="000000"/>
          <w:sz w:val="24"/>
          <w:highlight w:val="none"/>
        </w:rPr>
        <w:t>日</w:t>
      </w:r>
      <w:r>
        <w:rPr>
          <w:rFonts w:hint="eastAsia"/>
          <w:color w:val="000000"/>
          <w:sz w:val="24"/>
          <w:highlight w:val="none"/>
          <w:lang w:val="en-US" w:eastAsia="zh-CN"/>
        </w:rPr>
        <w:t xml:space="preserve">  </w:t>
      </w:r>
      <w:r>
        <w:rPr>
          <w:rFonts w:hint="eastAsia"/>
          <w:color w:val="000000"/>
          <w:sz w:val="24"/>
          <w:highlight w:val="none"/>
        </w:rPr>
        <w:t>期：   年  月  日</w:t>
      </w:r>
    </w:p>
    <w:p>
      <w:pPr>
        <w:pageBreakBefore w:val="0"/>
        <w:kinsoku/>
        <w:topLinePunct w:val="0"/>
        <w:bidi w:val="0"/>
        <w:spacing w:line="360" w:lineRule="auto"/>
        <w:rPr>
          <w:rFonts w:hint="eastAsia"/>
          <w:color w:val="000000"/>
          <w:sz w:val="24"/>
          <w:highlight w:val="none"/>
        </w:rPr>
      </w:pPr>
    </w:p>
    <w:p>
      <w:pPr>
        <w:pStyle w:val="2"/>
        <w:keepNext w:val="0"/>
        <w:keepLines w:val="0"/>
        <w:pageBreakBefore w:val="0"/>
        <w:numPr>
          <w:ilvl w:val="1"/>
          <w:numId w:val="10"/>
        </w:numPr>
        <w:tabs>
          <w:tab w:val="left" w:pos="360"/>
          <w:tab w:val="left" w:pos="540"/>
          <w:tab w:val="clear" w:pos="780"/>
        </w:tabs>
        <w:kinsoku/>
        <w:topLinePunct w:val="0"/>
        <w:bidi w:val="0"/>
        <w:spacing w:before="160" w:beforeLines="50" w:beforeAutospacing="0" w:after="160" w:afterLines="50" w:afterAutospacing="0" w:line="360" w:lineRule="auto"/>
        <w:ind w:left="0" w:firstLine="0"/>
        <w:jc w:val="center"/>
        <w:rPr>
          <w:rFonts w:hint="eastAsia" w:ascii="Times New Roman" w:hAnsi="Times New Roman" w:eastAsia="宋体"/>
          <w:color w:val="000000"/>
          <w:highlight w:val="none"/>
        </w:rPr>
        <w:sectPr>
          <w:pgSz w:w="11906" w:h="16838"/>
          <w:pgMar w:top="1247" w:right="1247" w:bottom="1134" w:left="1644" w:header="851" w:footer="850" w:gutter="0"/>
          <w:pgNumType w:fmt="decimal"/>
          <w:cols w:space="708" w:num="1"/>
          <w:docGrid w:type="lines" w:linePitch="321" w:charSpace="0"/>
        </w:sectPr>
      </w:pP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left"/>
        <w:textAlignment w:val="auto"/>
        <w:rPr>
          <w:rFonts w:hint="eastAsia" w:ascii="Times New Roman" w:hAnsi="Times New Roman" w:eastAsia="宋体" w:cs="Times New Roman"/>
          <w:b/>
          <w:bCs/>
          <w:color w:val="000000"/>
          <w:kern w:val="2"/>
          <w:sz w:val="32"/>
          <w:szCs w:val="32"/>
          <w:highlight w:val="none"/>
          <w:lang w:val="en-US" w:eastAsia="zh-CN" w:bidi="ar-SA"/>
        </w:rPr>
      </w:pPr>
      <w:r>
        <w:rPr>
          <w:rFonts w:hint="eastAsia" w:ascii="Times New Roman" w:hAnsi="Times New Roman" w:eastAsia="宋体" w:cs="Times New Roman"/>
          <w:b/>
          <w:bCs/>
          <w:color w:val="000000"/>
          <w:kern w:val="2"/>
          <w:sz w:val="32"/>
          <w:szCs w:val="32"/>
          <w:highlight w:val="none"/>
          <w:lang w:val="en-US" w:eastAsia="zh-CN" w:bidi="ar-SA"/>
        </w:rPr>
        <w:t>附件2</w:t>
      </w: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left"/>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5"/>
        <w:jc w:val="center"/>
        <w:textAlignment w:val="auto"/>
        <w:rPr>
          <w:rFonts w:hint="eastAsia" w:ascii="仿宋" w:hAnsi="仿宋" w:eastAsia="仿宋" w:cs="仿宋"/>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关于项目用工招录贫困户劳动力和不拖欠农民工工资的承诺函</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5"/>
        <w:textAlignment w:val="auto"/>
        <w:rPr>
          <w:rFonts w:hint="eastAsia" w:ascii="仿宋" w:hAnsi="仿宋" w:eastAsia="仿宋" w:cs="仿宋"/>
          <w:color w:val="000000"/>
          <w:szCs w:val="32"/>
          <w:lang w:val="en-US" w:eastAsia="zh-CN"/>
        </w:rPr>
      </w:pPr>
    </w:p>
    <w:p>
      <w:pPr>
        <w:pageBreakBefore w:val="0"/>
        <w:kinsoku/>
        <w:topLinePunct w:val="0"/>
        <w:bidi w:val="0"/>
        <w:adjustRightInd w:val="0"/>
        <w:spacing w:line="360" w:lineRule="auto"/>
        <w:ind w:firstLine="480" w:firstLineChars="200"/>
        <w:rPr>
          <w:rFonts w:hint="eastAsia" w:ascii="Times New Roman" w:hAnsi="Times New Roman" w:eastAsia="宋体" w:cs="Times New Roman"/>
          <w:color w:val="000000"/>
          <w:sz w:val="24"/>
          <w:highlight w:val="none"/>
          <w:lang w:val="en-US" w:eastAsia="zh-CN"/>
        </w:rPr>
      </w:pPr>
      <w:r>
        <w:rPr>
          <w:rFonts w:hint="eastAsia" w:ascii="Times New Roman" w:hAnsi="Times New Roman" w:eastAsia="宋体" w:cs="Times New Roman"/>
          <w:color w:val="000000"/>
          <w:sz w:val="24"/>
          <w:highlight w:val="none"/>
          <w:lang w:val="en-US" w:eastAsia="zh-CN"/>
        </w:rPr>
        <w:t>致：</w:t>
      </w:r>
      <w:r>
        <w:rPr>
          <w:rFonts w:hint="eastAsia" w:ascii="Times New Roman" w:hAnsi="Times New Roman" w:eastAsia="宋体" w:cs="Times New Roman"/>
          <w:color w:val="000000"/>
          <w:sz w:val="24"/>
          <w:highlight w:val="none"/>
          <w:u w:val="single"/>
          <w:lang w:val="en-US" w:eastAsia="zh-CN"/>
        </w:rPr>
        <w:t>白沙黎族自治县教育局</w:t>
      </w:r>
    </w:p>
    <w:p>
      <w:pPr>
        <w:pageBreakBefore w:val="0"/>
        <w:kinsoku/>
        <w:topLinePunct w:val="0"/>
        <w:bidi w:val="0"/>
        <w:adjustRightInd w:val="0"/>
        <w:spacing w:line="360" w:lineRule="auto"/>
        <w:ind w:firstLine="480" w:firstLineChars="200"/>
        <w:rPr>
          <w:rFonts w:hint="eastAsia" w:ascii="Times New Roman" w:hAnsi="Times New Roman" w:eastAsia="宋体" w:cs="Times New Roman"/>
          <w:color w:val="000000"/>
          <w:sz w:val="24"/>
          <w:highlight w:val="none"/>
          <w:lang w:val="en-US" w:eastAsia="zh-CN"/>
        </w:rPr>
      </w:pPr>
      <w:r>
        <w:rPr>
          <w:rFonts w:hint="eastAsia" w:ascii="Times New Roman" w:hAnsi="Times New Roman" w:eastAsia="宋体" w:cs="Times New Roman"/>
          <w:color w:val="000000"/>
          <w:sz w:val="24"/>
          <w:highlight w:val="none"/>
          <w:lang w:val="en-US" w:eastAsia="zh-CN"/>
        </w:rPr>
        <w:t>一、根据《海南省发展和改革委员会关于实施促进贫困劳动力务工六条措施的通知》（琼发改投资〔2020〕302 号）要求,我单位确保项目用工招录贫困劳动力数量比例不低于招录人员数量的10%，并将该要求纳入施工合同予以明确。</w:t>
      </w:r>
    </w:p>
    <w:p>
      <w:pPr>
        <w:pageBreakBefore w:val="0"/>
        <w:kinsoku/>
        <w:topLinePunct w:val="0"/>
        <w:bidi w:val="0"/>
        <w:adjustRightInd w:val="0"/>
        <w:spacing w:line="360" w:lineRule="auto"/>
        <w:ind w:firstLine="480" w:firstLineChars="200"/>
        <w:rPr>
          <w:rFonts w:hint="eastAsia" w:ascii="Times New Roman" w:hAnsi="Times New Roman" w:eastAsia="宋体" w:cs="Times New Roman"/>
          <w:color w:val="000000"/>
          <w:sz w:val="24"/>
          <w:highlight w:val="none"/>
          <w:lang w:val="en-US" w:eastAsia="zh-CN"/>
        </w:rPr>
      </w:pPr>
      <w:r>
        <w:rPr>
          <w:rFonts w:hint="eastAsia" w:ascii="Times New Roman" w:hAnsi="Times New Roman" w:eastAsia="宋体" w:cs="Times New Roman"/>
          <w:color w:val="000000"/>
          <w:sz w:val="24"/>
          <w:highlight w:val="none"/>
          <w:lang w:val="en-US" w:eastAsia="zh-CN"/>
        </w:rPr>
        <w:t>二、我单位承诺建设的工程项目没有拖欠农民工工资；并确保本项目在建设的过程中不拖欠农民工工资，如发生拖欠农民工工资的情况，我单位会督促施工单位把工资发放给农民工，配合做好相关协调工作。</w:t>
      </w:r>
    </w:p>
    <w:p>
      <w:pPr>
        <w:pageBreakBefore w:val="0"/>
        <w:kinsoku/>
        <w:topLinePunct w:val="0"/>
        <w:bidi w:val="0"/>
        <w:adjustRightInd w:val="0"/>
        <w:spacing w:line="360" w:lineRule="auto"/>
        <w:ind w:firstLine="480" w:firstLineChars="200"/>
        <w:rPr>
          <w:rFonts w:hint="eastAsia" w:ascii="Times New Roman" w:hAnsi="Times New Roman" w:eastAsia="宋体" w:cs="Times New Roman"/>
          <w:color w:val="000000"/>
          <w:sz w:val="24"/>
          <w:highlight w:val="none"/>
          <w:lang w:val="en-US" w:eastAsia="zh-CN"/>
        </w:rPr>
      </w:pPr>
    </w:p>
    <w:p>
      <w:pPr>
        <w:pageBreakBefore w:val="0"/>
        <w:kinsoku/>
        <w:topLinePunct w:val="0"/>
        <w:bidi w:val="0"/>
        <w:adjustRightInd w:val="0"/>
        <w:spacing w:line="360" w:lineRule="auto"/>
        <w:ind w:firstLine="480" w:firstLineChars="200"/>
        <w:rPr>
          <w:rFonts w:hint="eastAsia" w:ascii="Times New Roman" w:hAnsi="Times New Roman" w:eastAsia="宋体" w:cs="Times New Roman"/>
          <w:color w:val="000000"/>
          <w:sz w:val="24"/>
          <w:highlight w:val="none"/>
          <w:lang w:val="en-US" w:eastAsia="zh-CN"/>
        </w:rPr>
      </w:pPr>
    </w:p>
    <w:p>
      <w:pPr>
        <w:pageBreakBefore w:val="0"/>
        <w:kinsoku/>
        <w:topLinePunct w:val="0"/>
        <w:bidi w:val="0"/>
        <w:adjustRightInd w:val="0"/>
        <w:spacing w:line="360" w:lineRule="auto"/>
        <w:ind w:firstLine="480" w:firstLineChars="200"/>
        <w:rPr>
          <w:rFonts w:hint="eastAsia" w:ascii="Times New Roman" w:hAnsi="Times New Roman" w:eastAsia="宋体" w:cs="Times New Roman"/>
          <w:color w:val="000000"/>
          <w:sz w:val="24"/>
          <w:highlight w:val="none"/>
          <w:lang w:val="en-US" w:eastAsia="zh-CN"/>
        </w:rPr>
      </w:pPr>
    </w:p>
    <w:p>
      <w:pPr>
        <w:pageBreakBefore w:val="0"/>
        <w:kinsoku/>
        <w:topLinePunct w:val="0"/>
        <w:bidi w:val="0"/>
        <w:adjustRightInd w:val="0"/>
        <w:spacing w:line="360" w:lineRule="auto"/>
        <w:ind w:firstLine="480" w:firstLineChars="200"/>
        <w:rPr>
          <w:rFonts w:hint="eastAsia" w:ascii="Times New Roman" w:hAnsi="Times New Roman" w:eastAsia="宋体" w:cs="Times New Roman"/>
          <w:color w:val="000000"/>
          <w:sz w:val="24"/>
          <w:highlight w:val="none"/>
          <w:lang w:val="en-US" w:eastAsia="zh-CN"/>
        </w:rPr>
      </w:pPr>
      <w:r>
        <w:rPr>
          <w:rFonts w:hint="eastAsia" w:ascii="Times New Roman" w:hAnsi="Times New Roman" w:eastAsia="宋体" w:cs="Times New Roman"/>
          <w:color w:val="000000"/>
          <w:sz w:val="24"/>
          <w:highlight w:val="none"/>
          <w:lang w:val="en-US" w:eastAsia="zh-CN"/>
        </w:rPr>
        <w:t xml:space="preserve">  </w:t>
      </w:r>
    </w:p>
    <w:p>
      <w:pPr>
        <w:pageBreakBefore w:val="0"/>
        <w:kinsoku/>
        <w:topLinePunct w:val="0"/>
        <w:bidi w:val="0"/>
        <w:adjustRightInd w:val="0"/>
        <w:spacing w:line="360" w:lineRule="auto"/>
        <w:ind w:firstLine="480" w:firstLineChars="200"/>
        <w:jc w:val="right"/>
        <w:rPr>
          <w:rFonts w:hint="eastAsia" w:ascii="Times New Roman" w:hAnsi="Times New Roman" w:eastAsia="宋体" w:cs="Times New Roman"/>
          <w:color w:val="000000"/>
          <w:sz w:val="24"/>
          <w:highlight w:val="none"/>
        </w:rPr>
      </w:pPr>
      <w:r>
        <w:rPr>
          <w:rFonts w:hint="eastAsia" w:ascii="Times New Roman" w:hAnsi="Times New Roman" w:eastAsia="宋体" w:cs="Times New Roman"/>
          <w:color w:val="000000"/>
          <w:sz w:val="24"/>
          <w:highlight w:val="none"/>
        </w:rPr>
        <w:t>单位名称（公章）：</w:t>
      </w:r>
    </w:p>
    <w:p>
      <w:pPr>
        <w:pageBreakBefore w:val="0"/>
        <w:kinsoku/>
        <w:topLinePunct w:val="0"/>
        <w:bidi w:val="0"/>
        <w:adjustRightInd w:val="0"/>
        <w:spacing w:line="360" w:lineRule="auto"/>
        <w:ind w:firstLine="480" w:firstLineChars="200"/>
        <w:jc w:val="right"/>
        <w:rPr>
          <w:rFonts w:hint="eastAsia" w:ascii="Times New Roman" w:hAnsi="Times New Roman" w:eastAsia="宋体" w:cs="Times New Roman"/>
          <w:color w:val="000000"/>
          <w:sz w:val="24"/>
          <w:highlight w:val="none"/>
        </w:rPr>
      </w:pPr>
      <w:r>
        <w:rPr>
          <w:rFonts w:hint="eastAsia" w:ascii="Times New Roman" w:hAnsi="Times New Roman" w:eastAsia="宋体" w:cs="Times New Roman"/>
          <w:color w:val="000000"/>
          <w:sz w:val="24"/>
          <w:highlight w:val="none"/>
          <w:lang w:val="en-US" w:eastAsia="zh-CN"/>
        </w:rPr>
        <w:t xml:space="preserve">   </w:t>
      </w:r>
      <w:r>
        <w:rPr>
          <w:rFonts w:hint="eastAsia" w:ascii="Times New Roman" w:hAnsi="Times New Roman" w:eastAsia="宋体" w:cs="Times New Roman"/>
          <w:color w:val="000000"/>
          <w:sz w:val="24"/>
          <w:highlight w:val="none"/>
        </w:rPr>
        <w:t>年  月  日</w:t>
      </w:r>
    </w:p>
    <w:p>
      <w:pPr>
        <w:pageBreakBefore w:val="0"/>
        <w:kinsoku/>
        <w:topLinePunct w:val="0"/>
        <w:bidi w:val="0"/>
        <w:spacing w:line="360" w:lineRule="auto"/>
        <w:rPr>
          <w:rFonts w:hint="eastAsia" w:ascii="仿宋_GB2312" w:hAnsi="仿宋_GB2312" w:eastAsia="仿宋_GB2312" w:cs="仿宋_GB2312"/>
          <w:color w:val="000000"/>
        </w:rPr>
      </w:pPr>
    </w:p>
    <w:p>
      <w:pPr>
        <w:pStyle w:val="2"/>
        <w:pageBreakBefore w:val="0"/>
        <w:kinsoku/>
        <w:topLinePunct w:val="0"/>
        <w:bidi w:val="0"/>
        <w:spacing w:line="360" w:lineRule="auto"/>
        <w:rPr>
          <w:rFonts w:hint="eastAsia"/>
          <w:color w:val="000000"/>
        </w:rPr>
        <w:sectPr>
          <w:pgSz w:w="11906" w:h="16838"/>
          <w:pgMar w:top="1247" w:right="1247" w:bottom="1134" w:left="1644" w:header="851" w:footer="850" w:gutter="0"/>
          <w:pgNumType w:fmt="decimal"/>
          <w:cols w:space="708" w:num="1"/>
          <w:docGrid w:type="lines" w:linePitch="321" w:charSpace="0"/>
        </w:sectPr>
      </w:pPr>
    </w:p>
    <w:p>
      <w:pPr>
        <w:pStyle w:val="2"/>
        <w:keepNext w:val="0"/>
        <w:keepLines w:val="0"/>
        <w:pageBreakBefore w:val="0"/>
        <w:numPr>
          <w:ilvl w:val="1"/>
          <w:numId w:val="10"/>
        </w:numPr>
        <w:tabs>
          <w:tab w:val="left" w:pos="360"/>
          <w:tab w:val="left" w:pos="540"/>
          <w:tab w:val="clear" w:pos="780"/>
        </w:tabs>
        <w:kinsoku/>
        <w:topLinePunct w:val="0"/>
        <w:bidi w:val="0"/>
        <w:spacing w:before="160" w:beforeLines="50" w:beforeAutospacing="0" w:after="160" w:afterLines="50" w:afterAutospacing="0" w:line="360" w:lineRule="auto"/>
        <w:ind w:left="0" w:firstLine="0"/>
        <w:jc w:val="center"/>
        <w:rPr>
          <w:rFonts w:hint="eastAsia" w:ascii="Times New Roman" w:hAnsi="Times New Roman" w:eastAsia="宋体"/>
          <w:color w:val="000000"/>
          <w:highlight w:val="none"/>
        </w:rPr>
      </w:pPr>
      <w:bookmarkStart w:id="212" w:name="_Toc24846"/>
      <w:bookmarkStart w:id="213" w:name="_Toc13414"/>
      <w:bookmarkStart w:id="214" w:name="_Toc317237640"/>
      <w:r>
        <w:rPr>
          <w:rFonts w:hint="eastAsia" w:ascii="Times New Roman" w:hAnsi="Times New Roman" w:eastAsia="宋体"/>
          <w:color w:val="000000"/>
          <w:sz w:val="32"/>
          <w:highlight w:val="none"/>
          <w:lang w:eastAsia="zh-CN"/>
        </w:rPr>
        <w:t>供应商</w:t>
      </w:r>
      <w:r>
        <w:rPr>
          <w:rFonts w:hint="eastAsia" w:ascii="Times New Roman" w:hAnsi="Times New Roman" w:eastAsia="宋体"/>
          <w:color w:val="000000"/>
          <w:sz w:val="32"/>
          <w:highlight w:val="none"/>
        </w:rPr>
        <w:t>类似项目业绩一览表</w:t>
      </w:r>
      <w:bookmarkEnd w:id="212"/>
      <w:bookmarkEnd w:id="213"/>
      <w:bookmarkEnd w:id="214"/>
    </w:p>
    <w:p>
      <w:pPr>
        <w:pageBreakBefore w:val="0"/>
        <w:kinsoku/>
        <w:topLinePunct w:val="0"/>
        <w:bidi w:val="0"/>
        <w:spacing w:line="360" w:lineRule="auto"/>
        <w:rPr>
          <w:rFonts w:hint="eastAsia"/>
          <w:color w:val="000000"/>
          <w:highlight w:val="none"/>
        </w:rPr>
      </w:pPr>
      <w:r>
        <w:rPr>
          <w:rFonts w:hint="eastAsia"/>
          <w:color w:val="000000"/>
          <w:highlight w:val="none"/>
        </w:rPr>
        <w:t>（一）近年完成的类似工程情况表</w:t>
      </w:r>
    </w:p>
    <w:tbl>
      <w:tblPr>
        <w:tblStyle w:val="18"/>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9"/>
        <w:gridCol w:w="61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2419" w:type="dxa"/>
          </w:tcPr>
          <w:p>
            <w:pPr>
              <w:pStyle w:val="40"/>
              <w:pageBreakBefore w:val="0"/>
              <w:kinsoku/>
              <w:topLinePunct w:val="0"/>
              <w:bidi w:val="0"/>
              <w:spacing w:before="4" w:line="360" w:lineRule="auto"/>
              <w:rPr>
                <w:color w:val="000000"/>
                <w:sz w:val="14"/>
                <w:highlight w:val="none"/>
              </w:rPr>
            </w:pPr>
          </w:p>
          <w:p>
            <w:pPr>
              <w:pStyle w:val="40"/>
              <w:pageBreakBefore w:val="0"/>
              <w:kinsoku/>
              <w:topLinePunct w:val="0"/>
              <w:bidi w:val="0"/>
              <w:spacing w:line="360" w:lineRule="auto"/>
              <w:ind w:left="110" w:right="101"/>
              <w:jc w:val="center"/>
              <w:rPr>
                <w:color w:val="000000"/>
                <w:highlight w:val="none"/>
              </w:rPr>
            </w:pPr>
            <w:r>
              <w:rPr>
                <w:color w:val="000000"/>
                <w:highlight w:val="none"/>
              </w:rPr>
              <w:t>项目名称</w:t>
            </w:r>
          </w:p>
        </w:tc>
        <w:tc>
          <w:tcPr>
            <w:tcW w:w="6105" w:type="dxa"/>
          </w:tcPr>
          <w:p>
            <w:pPr>
              <w:pStyle w:val="40"/>
              <w:pageBreakBefore w:val="0"/>
              <w:kinsoku/>
              <w:topLinePunct w:val="0"/>
              <w:bidi w:val="0"/>
              <w:spacing w:line="360" w:lineRule="auto"/>
              <w:rPr>
                <w:rFonts w:ascii="Times New Roman"/>
                <w:color w:val="000000"/>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9" w:type="dxa"/>
          </w:tcPr>
          <w:p>
            <w:pPr>
              <w:pStyle w:val="40"/>
              <w:pageBreakBefore w:val="0"/>
              <w:kinsoku/>
              <w:topLinePunct w:val="0"/>
              <w:bidi w:val="0"/>
              <w:spacing w:before="178" w:line="360" w:lineRule="auto"/>
              <w:ind w:left="110" w:right="101"/>
              <w:jc w:val="center"/>
              <w:rPr>
                <w:color w:val="000000"/>
                <w:highlight w:val="none"/>
              </w:rPr>
            </w:pPr>
            <w:r>
              <w:rPr>
                <w:color w:val="000000"/>
                <w:highlight w:val="none"/>
              </w:rPr>
              <w:t>项目所在地</w:t>
            </w:r>
          </w:p>
        </w:tc>
        <w:tc>
          <w:tcPr>
            <w:tcW w:w="6105" w:type="dxa"/>
          </w:tcPr>
          <w:p>
            <w:pPr>
              <w:pStyle w:val="40"/>
              <w:pageBreakBefore w:val="0"/>
              <w:kinsoku/>
              <w:topLinePunct w:val="0"/>
              <w:bidi w:val="0"/>
              <w:spacing w:line="360" w:lineRule="auto"/>
              <w:rPr>
                <w:rFonts w:ascii="Times New Roman"/>
                <w:color w:val="000000"/>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9" w:type="dxa"/>
          </w:tcPr>
          <w:p>
            <w:pPr>
              <w:pStyle w:val="40"/>
              <w:pageBreakBefore w:val="0"/>
              <w:kinsoku/>
              <w:topLinePunct w:val="0"/>
              <w:bidi w:val="0"/>
              <w:spacing w:before="178" w:line="360" w:lineRule="auto"/>
              <w:ind w:left="110" w:right="101"/>
              <w:jc w:val="center"/>
              <w:rPr>
                <w:color w:val="000000"/>
                <w:highlight w:val="none"/>
              </w:rPr>
            </w:pPr>
            <w:r>
              <w:rPr>
                <w:color w:val="000000"/>
                <w:highlight w:val="none"/>
              </w:rPr>
              <w:t>发包人名称</w:t>
            </w:r>
          </w:p>
        </w:tc>
        <w:tc>
          <w:tcPr>
            <w:tcW w:w="6105" w:type="dxa"/>
          </w:tcPr>
          <w:p>
            <w:pPr>
              <w:pStyle w:val="40"/>
              <w:pageBreakBefore w:val="0"/>
              <w:kinsoku/>
              <w:topLinePunct w:val="0"/>
              <w:bidi w:val="0"/>
              <w:spacing w:line="360" w:lineRule="auto"/>
              <w:rPr>
                <w:rFonts w:ascii="Times New Roman"/>
                <w:color w:val="000000"/>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9" w:type="dxa"/>
          </w:tcPr>
          <w:p>
            <w:pPr>
              <w:pStyle w:val="40"/>
              <w:pageBreakBefore w:val="0"/>
              <w:kinsoku/>
              <w:topLinePunct w:val="0"/>
              <w:bidi w:val="0"/>
              <w:spacing w:before="178" w:line="360" w:lineRule="auto"/>
              <w:ind w:left="110" w:right="101"/>
              <w:jc w:val="center"/>
              <w:rPr>
                <w:color w:val="000000"/>
                <w:highlight w:val="none"/>
              </w:rPr>
            </w:pPr>
            <w:r>
              <w:rPr>
                <w:color w:val="000000"/>
                <w:highlight w:val="none"/>
              </w:rPr>
              <w:t>发包人地址</w:t>
            </w:r>
          </w:p>
        </w:tc>
        <w:tc>
          <w:tcPr>
            <w:tcW w:w="6105" w:type="dxa"/>
          </w:tcPr>
          <w:p>
            <w:pPr>
              <w:pStyle w:val="40"/>
              <w:pageBreakBefore w:val="0"/>
              <w:kinsoku/>
              <w:topLinePunct w:val="0"/>
              <w:bidi w:val="0"/>
              <w:spacing w:line="360" w:lineRule="auto"/>
              <w:rPr>
                <w:rFonts w:ascii="Times New Roman"/>
                <w:color w:val="000000"/>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9" w:type="dxa"/>
          </w:tcPr>
          <w:p>
            <w:pPr>
              <w:pStyle w:val="40"/>
              <w:pageBreakBefore w:val="0"/>
              <w:kinsoku/>
              <w:topLinePunct w:val="0"/>
              <w:bidi w:val="0"/>
              <w:spacing w:before="178" w:line="360" w:lineRule="auto"/>
              <w:ind w:left="110" w:right="96"/>
              <w:jc w:val="center"/>
              <w:rPr>
                <w:color w:val="000000"/>
                <w:highlight w:val="none"/>
              </w:rPr>
            </w:pPr>
            <w:r>
              <w:rPr>
                <w:color w:val="000000"/>
                <w:highlight w:val="none"/>
              </w:rPr>
              <w:t>发包人联系人及电话</w:t>
            </w:r>
          </w:p>
        </w:tc>
        <w:tc>
          <w:tcPr>
            <w:tcW w:w="6105" w:type="dxa"/>
          </w:tcPr>
          <w:p>
            <w:pPr>
              <w:pStyle w:val="40"/>
              <w:pageBreakBefore w:val="0"/>
              <w:kinsoku/>
              <w:topLinePunct w:val="0"/>
              <w:bidi w:val="0"/>
              <w:spacing w:line="360" w:lineRule="auto"/>
              <w:rPr>
                <w:rFonts w:ascii="Times New Roman"/>
                <w:color w:val="000000"/>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9" w:type="dxa"/>
          </w:tcPr>
          <w:p>
            <w:pPr>
              <w:pStyle w:val="40"/>
              <w:pageBreakBefore w:val="0"/>
              <w:kinsoku/>
              <w:topLinePunct w:val="0"/>
              <w:bidi w:val="0"/>
              <w:spacing w:before="178" w:line="360" w:lineRule="auto"/>
              <w:ind w:left="110" w:right="101"/>
              <w:jc w:val="center"/>
              <w:rPr>
                <w:color w:val="000000"/>
                <w:highlight w:val="none"/>
              </w:rPr>
            </w:pPr>
            <w:r>
              <w:rPr>
                <w:color w:val="000000"/>
                <w:highlight w:val="none"/>
              </w:rPr>
              <w:t>合同价格</w:t>
            </w:r>
          </w:p>
        </w:tc>
        <w:tc>
          <w:tcPr>
            <w:tcW w:w="6105" w:type="dxa"/>
          </w:tcPr>
          <w:p>
            <w:pPr>
              <w:pStyle w:val="40"/>
              <w:pageBreakBefore w:val="0"/>
              <w:kinsoku/>
              <w:topLinePunct w:val="0"/>
              <w:bidi w:val="0"/>
              <w:spacing w:line="360" w:lineRule="auto"/>
              <w:rPr>
                <w:rFonts w:ascii="Times New Roman"/>
                <w:color w:val="000000"/>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9" w:type="dxa"/>
          </w:tcPr>
          <w:p>
            <w:pPr>
              <w:pStyle w:val="40"/>
              <w:pageBreakBefore w:val="0"/>
              <w:kinsoku/>
              <w:topLinePunct w:val="0"/>
              <w:bidi w:val="0"/>
              <w:spacing w:before="178" w:line="360" w:lineRule="auto"/>
              <w:ind w:left="110" w:right="101"/>
              <w:jc w:val="center"/>
              <w:rPr>
                <w:color w:val="000000"/>
                <w:highlight w:val="none"/>
              </w:rPr>
            </w:pPr>
            <w:r>
              <w:rPr>
                <w:color w:val="000000"/>
                <w:highlight w:val="none"/>
              </w:rPr>
              <w:t>开工日期</w:t>
            </w:r>
          </w:p>
        </w:tc>
        <w:tc>
          <w:tcPr>
            <w:tcW w:w="6105" w:type="dxa"/>
          </w:tcPr>
          <w:p>
            <w:pPr>
              <w:pStyle w:val="40"/>
              <w:pageBreakBefore w:val="0"/>
              <w:kinsoku/>
              <w:topLinePunct w:val="0"/>
              <w:bidi w:val="0"/>
              <w:spacing w:line="360" w:lineRule="auto"/>
              <w:rPr>
                <w:rFonts w:ascii="Times New Roman"/>
                <w:color w:val="000000"/>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9" w:type="dxa"/>
          </w:tcPr>
          <w:p>
            <w:pPr>
              <w:pStyle w:val="40"/>
              <w:pageBreakBefore w:val="0"/>
              <w:kinsoku/>
              <w:topLinePunct w:val="0"/>
              <w:bidi w:val="0"/>
              <w:spacing w:before="178" w:line="360" w:lineRule="auto"/>
              <w:ind w:left="110" w:right="101"/>
              <w:jc w:val="center"/>
              <w:rPr>
                <w:color w:val="000000"/>
                <w:highlight w:val="none"/>
              </w:rPr>
            </w:pPr>
            <w:r>
              <w:rPr>
                <w:color w:val="000000"/>
                <w:highlight w:val="none"/>
              </w:rPr>
              <w:t>竣工日期</w:t>
            </w:r>
          </w:p>
        </w:tc>
        <w:tc>
          <w:tcPr>
            <w:tcW w:w="6105" w:type="dxa"/>
          </w:tcPr>
          <w:p>
            <w:pPr>
              <w:pStyle w:val="40"/>
              <w:pageBreakBefore w:val="0"/>
              <w:kinsoku/>
              <w:topLinePunct w:val="0"/>
              <w:bidi w:val="0"/>
              <w:spacing w:line="360" w:lineRule="auto"/>
              <w:rPr>
                <w:rFonts w:ascii="Times New Roman"/>
                <w:color w:val="000000"/>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9" w:type="dxa"/>
          </w:tcPr>
          <w:p>
            <w:pPr>
              <w:pStyle w:val="40"/>
              <w:pageBreakBefore w:val="0"/>
              <w:kinsoku/>
              <w:topLinePunct w:val="0"/>
              <w:bidi w:val="0"/>
              <w:spacing w:before="178" w:line="360" w:lineRule="auto"/>
              <w:ind w:left="110" w:right="101"/>
              <w:jc w:val="center"/>
              <w:rPr>
                <w:color w:val="000000"/>
                <w:highlight w:val="none"/>
              </w:rPr>
            </w:pPr>
            <w:r>
              <w:rPr>
                <w:color w:val="000000"/>
                <w:highlight w:val="none"/>
              </w:rPr>
              <w:t>承担的工作</w:t>
            </w:r>
          </w:p>
        </w:tc>
        <w:tc>
          <w:tcPr>
            <w:tcW w:w="6105" w:type="dxa"/>
          </w:tcPr>
          <w:p>
            <w:pPr>
              <w:pStyle w:val="40"/>
              <w:pageBreakBefore w:val="0"/>
              <w:kinsoku/>
              <w:topLinePunct w:val="0"/>
              <w:bidi w:val="0"/>
              <w:spacing w:line="360" w:lineRule="auto"/>
              <w:rPr>
                <w:rFonts w:ascii="Times New Roman"/>
                <w:color w:val="000000"/>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9" w:type="dxa"/>
          </w:tcPr>
          <w:p>
            <w:pPr>
              <w:pStyle w:val="40"/>
              <w:pageBreakBefore w:val="0"/>
              <w:kinsoku/>
              <w:topLinePunct w:val="0"/>
              <w:bidi w:val="0"/>
              <w:spacing w:before="4" w:line="360" w:lineRule="auto"/>
              <w:rPr>
                <w:color w:val="000000"/>
                <w:sz w:val="14"/>
                <w:highlight w:val="none"/>
              </w:rPr>
            </w:pPr>
          </w:p>
          <w:p>
            <w:pPr>
              <w:pStyle w:val="40"/>
              <w:pageBreakBefore w:val="0"/>
              <w:kinsoku/>
              <w:topLinePunct w:val="0"/>
              <w:bidi w:val="0"/>
              <w:spacing w:line="360" w:lineRule="auto"/>
              <w:ind w:left="110" w:right="101"/>
              <w:jc w:val="center"/>
              <w:rPr>
                <w:color w:val="000000"/>
                <w:highlight w:val="none"/>
              </w:rPr>
            </w:pPr>
            <w:r>
              <w:rPr>
                <w:color w:val="000000"/>
                <w:highlight w:val="none"/>
              </w:rPr>
              <w:t>工程质量</w:t>
            </w:r>
          </w:p>
        </w:tc>
        <w:tc>
          <w:tcPr>
            <w:tcW w:w="6105" w:type="dxa"/>
          </w:tcPr>
          <w:p>
            <w:pPr>
              <w:pStyle w:val="40"/>
              <w:pageBreakBefore w:val="0"/>
              <w:kinsoku/>
              <w:topLinePunct w:val="0"/>
              <w:bidi w:val="0"/>
              <w:spacing w:line="360" w:lineRule="auto"/>
              <w:rPr>
                <w:rFonts w:ascii="Times New Roman"/>
                <w:color w:val="000000"/>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9" w:type="dxa"/>
          </w:tcPr>
          <w:p>
            <w:pPr>
              <w:pStyle w:val="40"/>
              <w:pageBreakBefore w:val="0"/>
              <w:kinsoku/>
              <w:topLinePunct w:val="0"/>
              <w:bidi w:val="0"/>
              <w:spacing w:before="4" w:line="360" w:lineRule="auto"/>
              <w:rPr>
                <w:color w:val="000000"/>
                <w:sz w:val="14"/>
                <w:highlight w:val="none"/>
              </w:rPr>
            </w:pPr>
          </w:p>
          <w:p>
            <w:pPr>
              <w:pStyle w:val="40"/>
              <w:pageBreakBefore w:val="0"/>
              <w:kinsoku/>
              <w:topLinePunct w:val="0"/>
              <w:bidi w:val="0"/>
              <w:spacing w:line="360" w:lineRule="auto"/>
              <w:ind w:left="110" w:right="-15"/>
              <w:jc w:val="center"/>
              <w:rPr>
                <w:color w:val="000000"/>
                <w:highlight w:val="none"/>
              </w:rPr>
            </w:pPr>
            <w:r>
              <w:rPr>
                <w:color w:val="000000"/>
                <w:spacing w:val="-2"/>
                <w:highlight w:val="none"/>
              </w:rPr>
              <w:t>项目负责人</w:t>
            </w:r>
            <w:r>
              <w:rPr>
                <w:color w:val="000000"/>
                <w:highlight w:val="none"/>
              </w:rPr>
              <w:t>（</w:t>
            </w:r>
            <w:r>
              <w:rPr>
                <w:color w:val="000000"/>
                <w:spacing w:val="-2"/>
                <w:highlight w:val="none"/>
              </w:rPr>
              <w:t>项目经理</w:t>
            </w:r>
            <w:r>
              <w:rPr>
                <w:color w:val="000000"/>
                <w:spacing w:val="-14"/>
                <w:highlight w:val="none"/>
              </w:rPr>
              <w:t>）</w:t>
            </w:r>
          </w:p>
        </w:tc>
        <w:tc>
          <w:tcPr>
            <w:tcW w:w="6105" w:type="dxa"/>
          </w:tcPr>
          <w:p>
            <w:pPr>
              <w:pStyle w:val="40"/>
              <w:pageBreakBefore w:val="0"/>
              <w:kinsoku/>
              <w:topLinePunct w:val="0"/>
              <w:bidi w:val="0"/>
              <w:spacing w:line="360" w:lineRule="auto"/>
              <w:rPr>
                <w:rFonts w:ascii="Times New Roman"/>
                <w:color w:val="000000"/>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9" w:type="dxa"/>
          </w:tcPr>
          <w:p>
            <w:pPr>
              <w:pStyle w:val="40"/>
              <w:pageBreakBefore w:val="0"/>
              <w:kinsoku/>
              <w:topLinePunct w:val="0"/>
              <w:bidi w:val="0"/>
              <w:spacing w:before="4" w:line="360" w:lineRule="auto"/>
              <w:rPr>
                <w:color w:val="000000"/>
                <w:sz w:val="14"/>
                <w:highlight w:val="none"/>
              </w:rPr>
            </w:pPr>
          </w:p>
          <w:p>
            <w:pPr>
              <w:pStyle w:val="40"/>
              <w:pageBreakBefore w:val="0"/>
              <w:kinsoku/>
              <w:topLinePunct w:val="0"/>
              <w:bidi w:val="0"/>
              <w:spacing w:line="360" w:lineRule="auto"/>
              <w:ind w:left="110" w:right="101"/>
              <w:jc w:val="center"/>
              <w:rPr>
                <w:color w:val="000000"/>
                <w:highlight w:val="none"/>
              </w:rPr>
            </w:pPr>
            <w:r>
              <w:rPr>
                <w:color w:val="000000"/>
                <w:highlight w:val="none"/>
              </w:rPr>
              <w:t>技术负责人</w:t>
            </w:r>
          </w:p>
        </w:tc>
        <w:tc>
          <w:tcPr>
            <w:tcW w:w="6105" w:type="dxa"/>
          </w:tcPr>
          <w:p>
            <w:pPr>
              <w:pStyle w:val="40"/>
              <w:pageBreakBefore w:val="0"/>
              <w:kinsoku/>
              <w:topLinePunct w:val="0"/>
              <w:bidi w:val="0"/>
              <w:spacing w:line="360" w:lineRule="auto"/>
              <w:rPr>
                <w:rFonts w:ascii="Times New Roman"/>
                <w:color w:val="000000"/>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2419" w:type="dxa"/>
          </w:tcPr>
          <w:p>
            <w:pPr>
              <w:pStyle w:val="40"/>
              <w:pageBreakBefore w:val="0"/>
              <w:kinsoku/>
              <w:topLinePunct w:val="0"/>
              <w:bidi w:val="0"/>
              <w:spacing w:before="4" w:line="360" w:lineRule="auto"/>
              <w:rPr>
                <w:color w:val="000000"/>
                <w:sz w:val="14"/>
                <w:highlight w:val="none"/>
              </w:rPr>
            </w:pPr>
          </w:p>
          <w:p>
            <w:pPr>
              <w:pStyle w:val="40"/>
              <w:pageBreakBefore w:val="0"/>
              <w:kinsoku/>
              <w:topLinePunct w:val="0"/>
              <w:bidi w:val="0"/>
              <w:spacing w:line="360" w:lineRule="auto"/>
              <w:ind w:left="110" w:right="96"/>
              <w:jc w:val="center"/>
              <w:rPr>
                <w:color w:val="000000"/>
                <w:highlight w:val="none"/>
              </w:rPr>
            </w:pPr>
            <w:r>
              <w:rPr>
                <w:color w:val="000000"/>
                <w:highlight w:val="none"/>
              </w:rPr>
              <w:t>总监理工程师及电话</w:t>
            </w:r>
          </w:p>
        </w:tc>
        <w:tc>
          <w:tcPr>
            <w:tcW w:w="6105" w:type="dxa"/>
          </w:tcPr>
          <w:p>
            <w:pPr>
              <w:pStyle w:val="40"/>
              <w:pageBreakBefore w:val="0"/>
              <w:kinsoku/>
              <w:topLinePunct w:val="0"/>
              <w:bidi w:val="0"/>
              <w:spacing w:line="360" w:lineRule="auto"/>
              <w:rPr>
                <w:rFonts w:ascii="Times New Roman"/>
                <w:color w:val="000000"/>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3" w:hRule="atLeast"/>
        </w:trPr>
        <w:tc>
          <w:tcPr>
            <w:tcW w:w="2419" w:type="dxa"/>
          </w:tcPr>
          <w:p>
            <w:pPr>
              <w:pStyle w:val="40"/>
              <w:pageBreakBefore w:val="0"/>
              <w:kinsoku/>
              <w:topLinePunct w:val="0"/>
              <w:bidi w:val="0"/>
              <w:spacing w:line="360" w:lineRule="auto"/>
              <w:rPr>
                <w:color w:val="000000"/>
                <w:sz w:val="20"/>
                <w:highlight w:val="none"/>
              </w:rPr>
            </w:pPr>
          </w:p>
          <w:p>
            <w:pPr>
              <w:pStyle w:val="40"/>
              <w:pageBreakBefore w:val="0"/>
              <w:kinsoku/>
              <w:topLinePunct w:val="0"/>
              <w:bidi w:val="0"/>
              <w:spacing w:line="360" w:lineRule="auto"/>
              <w:rPr>
                <w:color w:val="000000"/>
                <w:sz w:val="20"/>
                <w:highlight w:val="none"/>
              </w:rPr>
            </w:pPr>
          </w:p>
          <w:p>
            <w:pPr>
              <w:pStyle w:val="40"/>
              <w:pageBreakBefore w:val="0"/>
              <w:kinsoku/>
              <w:topLinePunct w:val="0"/>
              <w:bidi w:val="0"/>
              <w:spacing w:before="131" w:line="360" w:lineRule="auto"/>
              <w:ind w:left="110" w:right="101"/>
              <w:jc w:val="center"/>
              <w:rPr>
                <w:color w:val="000000"/>
                <w:highlight w:val="none"/>
              </w:rPr>
            </w:pPr>
            <w:r>
              <w:rPr>
                <w:color w:val="000000"/>
                <w:highlight w:val="none"/>
              </w:rPr>
              <w:t>项目描述</w:t>
            </w:r>
          </w:p>
        </w:tc>
        <w:tc>
          <w:tcPr>
            <w:tcW w:w="6105" w:type="dxa"/>
          </w:tcPr>
          <w:p>
            <w:pPr>
              <w:pStyle w:val="40"/>
              <w:pageBreakBefore w:val="0"/>
              <w:kinsoku/>
              <w:topLinePunct w:val="0"/>
              <w:bidi w:val="0"/>
              <w:spacing w:line="360" w:lineRule="auto"/>
              <w:rPr>
                <w:rFonts w:ascii="Times New Roman"/>
                <w:color w:val="000000"/>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2419" w:type="dxa"/>
          </w:tcPr>
          <w:p>
            <w:pPr>
              <w:pStyle w:val="40"/>
              <w:pageBreakBefore w:val="0"/>
              <w:kinsoku/>
              <w:topLinePunct w:val="0"/>
              <w:bidi w:val="0"/>
              <w:spacing w:before="4" w:line="360" w:lineRule="auto"/>
              <w:rPr>
                <w:color w:val="000000"/>
                <w:sz w:val="14"/>
                <w:highlight w:val="none"/>
              </w:rPr>
            </w:pPr>
          </w:p>
          <w:p>
            <w:pPr>
              <w:pStyle w:val="40"/>
              <w:pageBreakBefore w:val="0"/>
              <w:kinsoku/>
              <w:topLinePunct w:val="0"/>
              <w:bidi w:val="0"/>
              <w:spacing w:line="360" w:lineRule="auto"/>
              <w:ind w:left="110" w:right="101"/>
              <w:jc w:val="center"/>
              <w:rPr>
                <w:color w:val="000000"/>
                <w:highlight w:val="none"/>
              </w:rPr>
            </w:pPr>
            <w:r>
              <w:rPr>
                <w:color w:val="000000"/>
                <w:highlight w:val="none"/>
              </w:rPr>
              <w:t>备注</w:t>
            </w:r>
          </w:p>
        </w:tc>
        <w:tc>
          <w:tcPr>
            <w:tcW w:w="6105" w:type="dxa"/>
          </w:tcPr>
          <w:p>
            <w:pPr>
              <w:pStyle w:val="40"/>
              <w:pageBreakBefore w:val="0"/>
              <w:kinsoku/>
              <w:topLinePunct w:val="0"/>
              <w:bidi w:val="0"/>
              <w:spacing w:line="360" w:lineRule="auto"/>
              <w:rPr>
                <w:rFonts w:ascii="Times New Roman"/>
                <w:color w:val="000000"/>
                <w:sz w:val="22"/>
                <w:highlight w:val="none"/>
              </w:rPr>
            </w:pPr>
          </w:p>
        </w:tc>
      </w:tr>
    </w:tbl>
    <w:p>
      <w:pPr>
        <w:pageBreakBefore w:val="0"/>
        <w:kinsoku/>
        <w:topLinePunct w:val="0"/>
        <w:bidi w:val="0"/>
        <w:adjustRightInd w:val="0"/>
        <w:spacing w:line="360" w:lineRule="auto"/>
        <w:rPr>
          <w:color w:val="000000"/>
          <w:sz w:val="24"/>
          <w:highlight w:val="none"/>
        </w:rPr>
      </w:pPr>
      <w:r>
        <w:rPr>
          <w:color w:val="000000"/>
          <w:spacing w:val="-7"/>
          <w:highlight w:val="none"/>
        </w:rPr>
        <w:t>备注：本表后附</w:t>
      </w:r>
      <w:r>
        <w:rPr>
          <w:color w:val="000000"/>
          <w:spacing w:val="-8"/>
          <w:highlight w:val="none"/>
        </w:rPr>
        <w:t>合同协议书复印件。每张表格只填写一个项目，并标明</w:t>
      </w:r>
      <w:r>
        <w:rPr>
          <w:color w:val="000000"/>
          <w:highlight w:val="none"/>
        </w:rPr>
        <w:t>序号。</w:t>
      </w:r>
    </w:p>
    <w:p>
      <w:pPr>
        <w:pageBreakBefore w:val="0"/>
        <w:kinsoku/>
        <w:topLinePunct w:val="0"/>
        <w:bidi w:val="0"/>
        <w:adjustRightInd w:val="0"/>
        <w:spacing w:line="360" w:lineRule="auto"/>
        <w:ind w:firstLine="420" w:firstLineChars="200"/>
        <w:rPr>
          <w:rFonts w:hint="eastAsia"/>
          <w:color w:val="000000"/>
          <w:sz w:val="24"/>
          <w:highlight w:val="none"/>
        </w:rPr>
      </w:pPr>
      <w:r>
        <w:rPr>
          <w:color w:val="000000"/>
          <w:highlight w:val="none"/>
        </w:rPr>
        <w:br w:type="page"/>
      </w:r>
      <w:r>
        <w:rPr>
          <w:color w:val="000000"/>
          <w:highlight w:val="none"/>
        </w:rPr>
        <w:t>（</w:t>
      </w:r>
      <w:r>
        <w:rPr>
          <w:rFonts w:hint="eastAsia"/>
          <w:color w:val="000000"/>
          <w:highlight w:val="none"/>
        </w:rPr>
        <w:t>二</w:t>
      </w:r>
      <w:r>
        <w:rPr>
          <w:color w:val="000000"/>
          <w:highlight w:val="none"/>
        </w:rPr>
        <w:t>）正在施工的和新承接的项目情况表</w:t>
      </w:r>
    </w:p>
    <w:tbl>
      <w:tblPr>
        <w:tblStyle w:val="18"/>
        <w:tblpPr w:leftFromText="180" w:rightFromText="180" w:vertAnchor="text" w:horzAnchor="page" w:tblpX="2065" w:tblpY="401"/>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9"/>
        <w:gridCol w:w="61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2419" w:type="dxa"/>
          </w:tcPr>
          <w:p>
            <w:pPr>
              <w:pStyle w:val="40"/>
              <w:pageBreakBefore w:val="0"/>
              <w:kinsoku/>
              <w:topLinePunct w:val="0"/>
              <w:bidi w:val="0"/>
              <w:spacing w:before="4" w:line="360" w:lineRule="auto"/>
              <w:rPr>
                <w:color w:val="000000"/>
                <w:sz w:val="14"/>
                <w:highlight w:val="none"/>
              </w:rPr>
            </w:pPr>
          </w:p>
          <w:p>
            <w:pPr>
              <w:pStyle w:val="40"/>
              <w:pageBreakBefore w:val="0"/>
              <w:kinsoku/>
              <w:topLinePunct w:val="0"/>
              <w:bidi w:val="0"/>
              <w:spacing w:line="360" w:lineRule="auto"/>
              <w:ind w:left="110" w:right="101"/>
              <w:jc w:val="center"/>
              <w:rPr>
                <w:color w:val="000000"/>
                <w:highlight w:val="none"/>
              </w:rPr>
            </w:pPr>
            <w:r>
              <w:rPr>
                <w:color w:val="000000"/>
                <w:highlight w:val="none"/>
              </w:rPr>
              <w:t>项目名称</w:t>
            </w:r>
          </w:p>
        </w:tc>
        <w:tc>
          <w:tcPr>
            <w:tcW w:w="6105" w:type="dxa"/>
          </w:tcPr>
          <w:p>
            <w:pPr>
              <w:pStyle w:val="40"/>
              <w:pageBreakBefore w:val="0"/>
              <w:kinsoku/>
              <w:topLinePunct w:val="0"/>
              <w:bidi w:val="0"/>
              <w:spacing w:line="360" w:lineRule="auto"/>
              <w:rPr>
                <w:rFonts w:ascii="Times New Roman"/>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9" w:type="dxa"/>
          </w:tcPr>
          <w:p>
            <w:pPr>
              <w:pStyle w:val="40"/>
              <w:pageBreakBefore w:val="0"/>
              <w:kinsoku/>
              <w:topLinePunct w:val="0"/>
              <w:bidi w:val="0"/>
              <w:spacing w:before="178" w:line="360" w:lineRule="auto"/>
              <w:ind w:left="110" w:right="101"/>
              <w:jc w:val="center"/>
              <w:rPr>
                <w:color w:val="000000"/>
                <w:highlight w:val="none"/>
              </w:rPr>
            </w:pPr>
            <w:r>
              <w:rPr>
                <w:color w:val="000000"/>
                <w:highlight w:val="none"/>
              </w:rPr>
              <w:t>项目所在地</w:t>
            </w:r>
          </w:p>
        </w:tc>
        <w:tc>
          <w:tcPr>
            <w:tcW w:w="6105" w:type="dxa"/>
          </w:tcPr>
          <w:p>
            <w:pPr>
              <w:pStyle w:val="40"/>
              <w:pageBreakBefore w:val="0"/>
              <w:kinsoku/>
              <w:topLinePunct w:val="0"/>
              <w:bidi w:val="0"/>
              <w:spacing w:line="360" w:lineRule="auto"/>
              <w:rPr>
                <w:rFonts w:ascii="Times New Roman"/>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9" w:type="dxa"/>
          </w:tcPr>
          <w:p>
            <w:pPr>
              <w:pStyle w:val="40"/>
              <w:pageBreakBefore w:val="0"/>
              <w:kinsoku/>
              <w:topLinePunct w:val="0"/>
              <w:bidi w:val="0"/>
              <w:spacing w:before="178" w:line="360" w:lineRule="auto"/>
              <w:ind w:left="110" w:right="101"/>
              <w:jc w:val="center"/>
              <w:rPr>
                <w:color w:val="000000"/>
                <w:highlight w:val="none"/>
              </w:rPr>
            </w:pPr>
            <w:r>
              <w:rPr>
                <w:color w:val="000000"/>
                <w:highlight w:val="none"/>
              </w:rPr>
              <w:t>发包人名称</w:t>
            </w:r>
          </w:p>
        </w:tc>
        <w:tc>
          <w:tcPr>
            <w:tcW w:w="6105" w:type="dxa"/>
          </w:tcPr>
          <w:p>
            <w:pPr>
              <w:pStyle w:val="40"/>
              <w:pageBreakBefore w:val="0"/>
              <w:kinsoku/>
              <w:topLinePunct w:val="0"/>
              <w:bidi w:val="0"/>
              <w:spacing w:line="360" w:lineRule="auto"/>
              <w:rPr>
                <w:rFonts w:ascii="Times New Roman"/>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9" w:type="dxa"/>
          </w:tcPr>
          <w:p>
            <w:pPr>
              <w:pStyle w:val="40"/>
              <w:pageBreakBefore w:val="0"/>
              <w:kinsoku/>
              <w:topLinePunct w:val="0"/>
              <w:bidi w:val="0"/>
              <w:spacing w:before="178" w:line="360" w:lineRule="auto"/>
              <w:ind w:left="110" w:right="101"/>
              <w:jc w:val="center"/>
              <w:rPr>
                <w:color w:val="000000"/>
                <w:highlight w:val="none"/>
              </w:rPr>
            </w:pPr>
            <w:r>
              <w:rPr>
                <w:color w:val="000000"/>
                <w:highlight w:val="none"/>
              </w:rPr>
              <w:t>发包人地址</w:t>
            </w:r>
          </w:p>
        </w:tc>
        <w:tc>
          <w:tcPr>
            <w:tcW w:w="6105" w:type="dxa"/>
          </w:tcPr>
          <w:p>
            <w:pPr>
              <w:pStyle w:val="40"/>
              <w:pageBreakBefore w:val="0"/>
              <w:kinsoku/>
              <w:topLinePunct w:val="0"/>
              <w:bidi w:val="0"/>
              <w:spacing w:line="360" w:lineRule="auto"/>
              <w:rPr>
                <w:rFonts w:ascii="Times New Roman"/>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9" w:type="dxa"/>
          </w:tcPr>
          <w:p>
            <w:pPr>
              <w:pStyle w:val="40"/>
              <w:pageBreakBefore w:val="0"/>
              <w:kinsoku/>
              <w:topLinePunct w:val="0"/>
              <w:bidi w:val="0"/>
              <w:spacing w:before="178" w:line="360" w:lineRule="auto"/>
              <w:ind w:left="110" w:right="101"/>
              <w:jc w:val="center"/>
              <w:rPr>
                <w:color w:val="000000"/>
                <w:highlight w:val="none"/>
              </w:rPr>
            </w:pPr>
            <w:r>
              <w:rPr>
                <w:color w:val="000000"/>
                <w:highlight w:val="none"/>
              </w:rPr>
              <w:t>发包人电话</w:t>
            </w:r>
          </w:p>
        </w:tc>
        <w:tc>
          <w:tcPr>
            <w:tcW w:w="6105" w:type="dxa"/>
          </w:tcPr>
          <w:p>
            <w:pPr>
              <w:pStyle w:val="40"/>
              <w:pageBreakBefore w:val="0"/>
              <w:kinsoku/>
              <w:topLinePunct w:val="0"/>
              <w:bidi w:val="0"/>
              <w:spacing w:line="360" w:lineRule="auto"/>
              <w:rPr>
                <w:rFonts w:ascii="Times New Roman"/>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9" w:type="dxa"/>
          </w:tcPr>
          <w:p>
            <w:pPr>
              <w:pStyle w:val="40"/>
              <w:pageBreakBefore w:val="0"/>
              <w:kinsoku/>
              <w:topLinePunct w:val="0"/>
              <w:bidi w:val="0"/>
              <w:spacing w:before="178" w:line="360" w:lineRule="auto"/>
              <w:ind w:left="110" w:right="101"/>
              <w:jc w:val="center"/>
              <w:rPr>
                <w:color w:val="000000"/>
                <w:highlight w:val="none"/>
              </w:rPr>
            </w:pPr>
            <w:r>
              <w:rPr>
                <w:color w:val="000000"/>
                <w:highlight w:val="none"/>
              </w:rPr>
              <w:t>签约合同价</w:t>
            </w:r>
          </w:p>
        </w:tc>
        <w:tc>
          <w:tcPr>
            <w:tcW w:w="6105" w:type="dxa"/>
          </w:tcPr>
          <w:p>
            <w:pPr>
              <w:pStyle w:val="40"/>
              <w:pageBreakBefore w:val="0"/>
              <w:kinsoku/>
              <w:topLinePunct w:val="0"/>
              <w:bidi w:val="0"/>
              <w:spacing w:line="360" w:lineRule="auto"/>
              <w:rPr>
                <w:rFonts w:ascii="Times New Roman"/>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9" w:type="dxa"/>
          </w:tcPr>
          <w:p>
            <w:pPr>
              <w:pStyle w:val="40"/>
              <w:pageBreakBefore w:val="0"/>
              <w:kinsoku/>
              <w:topLinePunct w:val="0"/>
              <w:bidi w:val="0"/>
              <w:spacing w:before="178" w:line="360" w:lineRule="auto"/>
              <w:ind w:left="110" w:right="101"/>
              <w:jc w:val="center"/>
              <w:rPr>
                <w:color w:val="000000"/>
                <w:highlight w:val="none"/>
              </w:rPr>
            </w:pPr>
            <w:r>
              <w:rPr>
                <w:color w:val="000000"/>
                <w:highlight w:val="none"/>
              </w:rPr>
              <w:t>开工日期</w:t>
            </w:r>
          </w:p>
        </w:tc>
        <w:tc>
          <w:tcPr>
            <w:tcW w:w="6105" w:type="dxa"/>
          </w:tcPr>
          <w:p>
            <w:pPr>
              <w:pStyle w:val="40"/>
              <w:pageBreakBefore w:val="0"/>
              <w:kinsoku/>
              <w:topLinePunct w:val="0"/>
              <w:bidi w:val="0"/>
              <w:spacing w:line="360" w:lineRule="auto"/>
              <w:rPr>
                <w:rFonts w:ascii="Times New Roman"/>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9" w:type="dxa"/>
          </w:tcPr>
          <w:p>
            <w:pPr>
              <w:pStyle w:val="40"/>
              <w:pageBreakBefore w:val="0"/>
              <w:kinsoku/>
              <w:topLinePunct w:val="0"/>
              <w:bidi w:val="0"/>
              <w:spacing w:before="178" w:line="360" w:lineRule="auto"/>
              <w:ind w:left="110" w:right="96"/>
              <w:jc w:val="center"/>
              <w:rPr>
                <w:color w:val="000000"/>
                <w:highlight w:val="none"/>
              </w:rPr>
            </w:pPr>
            <w:r>
              <w:rPr>
                <w:color w:val="000000"/>
                <w:highlight w:val="none"/>
              </w:rPr>
              <w:t>计划竣工日期</w:t>
            </w:r>
          </w:p>
        </w:tc>
        <w:tc>
          <w:tcPr>
            <w:tcW w:w="6105" w:type="dxa"/>
          </w:tcPr>
          <w:p>
            <w:pPr>
              <w:pStyle w:val="40"/>
              <w:pageBreakBefore w:val="0"/>
              <w:kinsoku/>
              <w:topLinePunct w:val="0"/>
              <w:bidi w:val="0"/>
              <w:spacing w:line="360" w:lineRule="auto"/>
              <w:rPr>
                <w:rFonts w:ascii="Times New Roman"/>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9" w:type="dxa"/>
          </w:tcPr>
          <w:p>
            <w:pPr>
              <w:pStyle w:val="40"/>
              <w:pageBreakBefore w:val="0"/>
              <w:kinsoku/>
              <w:topLinePunct w:val="0"/>
              <w:bidi w:val="0"/>
              <w:spacing w:before="178" w:line="360" w:lineRule="auto"/>
              <w:ind w:left="110" w:right="101"/>
              <w:jc w:val="center"/>
              <w:rPr>
                <w:color w:val="000000"/>
                <w:highlight w:val="none"/>
              </w:rPr>
            </w:pPr>
            <w:r>
              <w:rPr>
                <w:color w:val="000000"/>
                <w:highlight w:val="none"/>
              </w:rPr>
              <w:t>承担的工作</w:t>
            </w:r>
          </w:p>
        </w:tc>
        <w:tc>
          <w:tcPr>
            <w:tcW w:w="6105" w:type="dxa"/>
          </w:tcPr>
          <w:p>
            <w:pPr>
              <w:pStyle w:val="40"/>
              <w:pageBreakBefore w:val="0"/>
              <w:kinsoku/>
              <w:topLinePunct w:val="0"/>
              <w:bidi w:val="0"/>
              <w:spacing w:line="360" w:lineRule="auto"/>
              <w:rPr>
                <w:rFonts w:ascii="Times New Roman"/>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9" w:type="dxa"/>
          </w:tcPr>
          <w:p>
            <w:pPr>
              <w:pStyle w:val="40"/>
              <w:pageBreakBefore w:val="0"/>
              <w:kinsoku/>
              <w:topLinePunct w:val="0"/>
              <w:bidi w:val="0"/>
              <w:spacing w:before="4" w:line="360" w:lineRule="auto"/>
              <w:rPr>
                <w:color w:val="000000"/>
                <w:sz w:val="14"/>
                <w:highlight w:val="none"/>
              </w:rPr>
            </w:pPr>
          </w:p>
          <w:p>
            <w:pPr>
              <w:pStyle w:val="40"/>
              <w:pageBreakBefore w:val="0"/>
              <w:kinsoku/>
              <w:topLinePunct w:val="0"/>
              <w:bidi w:val="0"/>
              <w:spacing w:line="360" w:lineRule="auto"/>
              <w:ind w:left="110" w:right="101"/>
              <w:jc w:val="center"/>
              <w:rPr>
                <w:color w:val="000000"/>
                <w:highlight w:val="none"/>
              </w:rPr>
            </w:pPr>
            <w:r>
              <w:rPr>
                <w:color w:val="000000"/>
                <w:highlight w:val="none"/>
              </w:rPr>
              <w:t>工程质量</w:t>
            </w:r>
          </w:p>
        </w:tc>
        <w:tc>
          <w:tcPr>
            <w:tcW w:w="6105" w:type="dxa"/>
          </w:tcPr>
          <w:p>
            <w:pPr>
              <w:pStyle w:val="40"/>
              <w:pageBreakBefore w:val="0"/>
              <w:kinsoku/>
              <w:topLinePunct w:val="0"/>
              <w:bidi w:val="0"/>
              <w:spacing w:line="360" w:lineRule="auto"/>
              <w:rPr>
                <w:rFonts w:ascii="Times New Roman"/>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9" w:type="dxa"/>
          </w:tcPr>
          <w:p>
            <w:pPr>
              <w:pStyle w:val="40"/>
              <w:pageBreakBefore w:val="0"/>
              <w:kinsoku/>
              <w:topLinePunct w:val="0"/>
              <w:bidi w:val="0"/>
              <w:spacing w:before="4" w:line="360" w:lineRule="auto"/>
              <w:rPr>
                <w:color w:val="000000"/>
                <w:sz w:val="14"/>
                <w:highlight w:val="none"/>
              </w:rPr>
            </w:pPr>
          </w:p>
          <w:p>
            <w:pPr>
              <w:pStyle w:val="40"/>
              <w:pageBreakBefore w:val="0"/>
              <w:kinsoku/>
              <w:topLinePunct w:val="0"/>
              <w:bidi w:val="0"/>
              <w:spacing w:line="360" w:lineRule="auto"/>
              <w:ind w:left="110" w:right="-15"/>
              <w:jc w:val="center"/>
              <w:rPr>
                <w:color w:val="000000"/>
                <w:highlight w:val="none"/>
              </w:rPr>
            </w:pPr>
            <w:r>
              <w:rPr>
                <w:color w:val="000000"/>
                <w:spacing w:val="-2"/>
                <w:highlight w:val="none"/>
              </w:rPr>
              <w:t>项目负责人</w:t>
            </w:r>
            <w:r>
              <w:rPr>
                <w:color w:val="000000"/>
                <w:highlight w:val="none"/>
              </w:rPr>
              <w:t>（</w:t>
            </w:r>
            <w:r>
              <w:rPr>
                <w:color w:val="000000"/>
                <w:spacing w:val="-2"/>
                <w:highlight w:val="none"/>
              </w:rPr>
              <w:t>项目经理</w:t>
            </w:r>
            <w:r>
              <w:rPr>
                <w:color w:val="000000"/>
                <w:spacing w:val="-14"/>
                <w:highlight w:val="none"/>
              </w:rPr>
              <w:t>）</w:t>
            </w:r>
          </w:p>
        </w:tc>
        <w:tc>
          <w:tcPr>
            <w:tcW w:w="6105" w:type="dxa"/>
          </w:tcPr>
          <w:p>
            <w:pPr>
              <w:pStyle w:val="40"/>
              <w:pageBreakBefore w:val="0"/>
              <w:kinsoku/>
              <w:topLinePunct w:val="0"/>
              <w:bidi w:val="0"/>
              <w:spacing w:line="360" w:lineRule="auto"/>
              <w:rPr>
                <w:rFonts w:ascii="Times New Roman"/>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9" w:type="dxa"/>
          </w:tcPr>
          <w:p>
            <w:pPr>
              <w:pStyle w:val="40"/>
              <w:pageBreakBefore w:val="0"/>
              <w:kinsoku/>
              <w:topLinePunct w:val="0"/>
              <w:bidi w:val="0"/>
              <w:spacing w:before="4" w:line="360" w:lineRule="auto"/>
              <w:rPr>
                <w:color w:val="000000"/>
                <w:sz w:val="14"/>
                <w:highlight w:val="none"/>
              </w:rPr>
            </w:pPr>
          </w:p>
          <w:p>
            <w:pPr>
              <w:pStyle w:val="40"/>
              <w:pageBreakBefore w:val="0"/>
              <w:kinsoku/>
              <w:topLinePunct w:val="0"/>
              <w:bidi w:val="0"/>
              <w:spacing w:line="360" w:lineRule="auto"/>
              <w:ind w:left="110" w:right="101"/>
              <w:jc w:val="center"/>
              <w:rPr>
                <w:color w:val="000000"/>
                <w:highlight w:val="none"/>
              </w:rPr>
            </w:pPr>
            <w:r>
              <w:rPr>
                <w:color w:val="000000"/>
                <w:highlight w:val="none"/>
              </w:rPr>
              <w:t>技术负责人</w:t>
            </w:r>
          </w:p>
        </w:tc>
        <w:tc>
          <w:tcPr>
            <w:tcW w:w="6105" w:type="dxa"/>
          </w:tcPr>
          <w:p>
            <w:pPr>
              <w:pStyle w:val="40"/>
              <w:pageBreakBefore w:val="0"/>
              <w:kinsoku/>
              <w:topLinePunct w:val="0"/>
              <w:bidi w:val="0"/>
              <w:spacing w:line="360" w:lineRule="auto"/>
              <w:rPr>
                <w:rFonts w:ascii="Times New Roman"/>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2419" w:type="dxa"/>
          </w:tcPr>
          <w:p>
            <w:pPr>
              <w:pStyle w:val="40"/>
              <w:pageBreakBefore w:val="0"/>
              <w:kinsoku/>
              <w:topLinePunct w:val="0"/>
              <w:bidi w:val="0"/>
              <w:spacing w:before="4" w:line="360" w:lineRule="auto"/>
              <w:rPr>
                <w:color w:val="000000"/>
                <w:sz w:val="14"/>
                <w:highlight w:val="none"/>
              </w:rPr>
            </w:pPr>
          </w:p>
          <w:p>
            <w:pPr>
              <w:pStyle w:val="40"/>
              <w:pageBreakBefore w:val="0"/>
              <w:kinsoku/>
              <w:topLinePunct w:val="0"/>
              <w:bidi w:val="0"/>
              <w:spacing w:line="360" w:lineRule="auto"/>
              <w:ind w:left="110" w:right="96"/>
              <w:jc w:val="center"/>
              <w:rPr>
                <w:color w:val="000000"/>
                <w:highlight w:val="none"/>
              </w:rPr>
            </w:pPr>
            <w:r>
              <w:rPr>
                <w:color w:val="000000"/>
                <w:highlight w:val="none"/>
              </w:rPr>
              <w:t>总监理工程师及电话</w:t>
            </w:r>
          </w:p>
        </w:tc>
        <w:tc>
          <w:tcPr>
            <w:tcW w:w="6105" w:type="dxa"/>
          </w:tcPr>
          <w:p>
            <w:pPr>
              <w:pStyle w:val="40"/>
              <w:pageBreakBefore w:val="0"/>
              <w:kinsoku/>
              <w:topLinePunct w:val="0"/>
              <w:bidi w:val="0"/>
              <w:spacing w:line="360" w:lineRule="auto"/>
              <w:rPr>
                <w:rFonts w:ascii="Times New Roman"/>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0" w:hRule="atLeast"/>
        </w:trPr>
        <w:tc>
          <w:tcPr>
            <w:tcW w:w="2419" w:type="dxa"/>
          </w:tcPr>
          <w:p>
            <w:pPr>
              <w:pStyle w:val="40"/>
              <w:pageBreakBefore w:val="0"/>
              <w:kinsoku/>
              <w:topLinePunct w:val="0"/>
              <w:bidi w:val="0"/>
              <w:spacing w:line="360" w:lineRule="auto"/>
              <w:rPr>
                <w:color w:val="000000"/>
                <w:sz w:val="20"/>
                <w:highlight w:val="none"/>
              </w:rPr>
            </w:pPr>
          </w:p>
          <w:p>
            <w:pPr>
              <w:pStyle w:val="40"/>
              <w:pageBreakBefore w:val="0"/>
              <w:kinsoku/>
              <w:topLinePunct w:val="0"/>
              <w:bidi w:val="0"/>
              <w:spacing w:before="8" w:line="360" w:lineRule="auto"/>
              <w:rPr>
                <w:color w:val="000000"/>
                <w:sz w:val="24"/>
                <w:highlight w:val="none"/>
              </w:rPr>
            </w:pPr>
          </w:p>
          <w:p>
            <w:pPr>
              <w:pStyle w:val="40"/>
              <w:pageBreakBefore w:val="0"/>
              <w:kinsoku/>
              <w:topLinePunct w:val="0"/>
              <w:bidi w:val="0"/>
              <w:spacing w:line="360" w:lineRule="auto"/>
              <w:ind w:left="110" w:right="101"/>
              <w:jc w:val="center"/>
              <w:rPr>
                <w:color w:val="000000"/>
                <w:highlight w:val="none"/>
              </w:rPr>
            </w:pPr>
            <w:r>
              <w:rPr>
                <w:color w:val="000000"/>
                <w:highlight w:val="none"/>
              </w:rPr>
              <w:t>项目描述</w:t>
            </w:r>
          </w:p>
        </w:tc>
        <w:tc>
          <w:tcPr>
            <w:tcW w:w="6105" w:type="dxa"/>
          </w:tcPr>
          <w:p>
            <w:pPr>
              <w:pStyle w:val="40"/>
              <w:pageBreakBefore w:val="0"/>
              <w:kinsoku/>
              <w:topLinePunct w:val="0"/>
              <w:bidi w:val="0"/>
              <w:spacing w:line="360" w:lineRule="auto"/>
              <w:rPr>
                <w:rFonts w:ascii="Times New Roman"/>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419" w:type="dxa"/>
          </w:tcPr>
          <w:p>
            <w:pPr>
              <w:pStyle w:val="40"/>
              <w:pageBreakBefore w:val="0"/>
              <w:kinsoku/>
              <w:topLinePunct w:val="0"/>
              <w:bidi w:val="0"/>
              <w:spacing w:before="178" w:line="360" w:lineRule="auto"/>
              <w:ind w:left="110" w:right="101"/>
              <w:jc w:val="center"/>
              <w:rPr>
                <w:color w:val="000000"/>
                <w:highlight w:val="none"/>
              </w:rPr>
            </w:pPr>
            <w:r>
              <w:rPr>
                <w:color w:val="000000"/>
                <w:highlight w:val="none"/>
              </w:rPr>
              <w:t>备注</w:t>
            </w:r>
          </w:p>
        </w:tc>
        <w:tc>
          <w:tcPr>
            <w:tcW w:w="6105" w:type="dxa"/>
          </w:tcPr>
          <w:p>
            <w:pPr>
              <w:pStyle w:val="40"/>
              <w:pageBreakBefore w:val="0"/>
              <w:kinsoku/>
              <w:topLinePunct w:val="0"/>
              <w:bidi w:val="0"/>
              <w:spacing w:line="360" w:lineRule="auto"/>
              <w:rPr>
                <w:rFonts w:ascii="Times New Roman"/>
                <w:color w:val="000000"/>
                <w:sz w:val="24"/>
                <w:highlight w:val="none"/>
              </w:rPr>
            </w:pPr>
          </w:p>
        </w:tc>
      </w:tr>
    </w:tbl>
    <w:p>
      <w:pPr>
        <w:pageBreakBefore w:val="0"/>
        <w:kinsoku/>
        <w:topLinePunct w:val="0"/>
        <w:bidi w:val="0"/>
        <w:adjustRightInd w:val="0"/>
        <w:spacing w:line="360" w:lineRule="auto"/>
        <w:ind w:firstLine="392" w:firstLineChars="200"/>
        <w:rPr>
          <w:color w:val="000000"/>
          <w:sz w:val="24"/>
          <w:highlight w:val="none"/>
        </w:rPr>
      </w:pPr>
      <w:r>
        <w:rPr>
          <w:color w:val="000000"/>
          <w:spacing w:val="-7"/>
          <w:highlight w:val="none"/>
        </w:rPr>
        <w:t>备注：本表后附</w:t>
      </w:r>
      <w:r>
        <w:rPr>
          <w:color w:val="000000"/>
          <w:spacing w:val="-8"/>
          <w:highlight w:val="none"/>
        </w:rPr>
        <w:t>合同协议书复印件。每张表格只填写一个项目，并标明</w:t>
      </w:r>
      <w:r>
        <w:rPr>
          <w:color w:val="000000"/>
          <w:highlight w:val="none"/>
        </w:rPr>
        <w:t>序号。</w:t>
      </w:r>
    </w:p>
    <w:p>
      <w:pPr>
        <w:pageBreakBefore w:val="0"/>
        <w:kinsoku/>
        <w:topLinePunct w:val="0"/>
        <w:bidi w:val="0"/>
        <w:spacing w:line="360" w:lineRule="auto"/>
        <w:ind w:firstLine="480" w:firstLineChars="200"/>
        <w:rPr>
          <w:rFonts w:hint="eastAsia"/>
          <w:bCs/>
          <w:color w:val="000000"/>
          <w:sz w:val="24"/>
          <w:highlight w:val="none"/>
        </w:rPr>
      </w:pPr>
    </w:p>
    <w:p>
      <w:pPr>
        <w:pStyle w:val="2"/>
        <w:keepNext w:val="0"/>
        <w:keepLines w:val="0"/>
        <w:pageBreakBefore w:val="0"/>
        <w:tabs>
          <w:tab w:val="left" w:pos="360"/>
          <w:tab w:val="left" w:pos="540"/>
        </w:tabs>
        <w:kinsoku/>
        <w:topLinePunct w:val="0"/>
        <w:bidi w:val="0"/>
        <w:spacing w:before="160" w:beforeLines="50" w:beforeAutospacing="0" w:after="160" w:afterLines="50" w:afterAutospacing="0" w:line="360" w:lineRule="auto"/>
        <w:jc w:val="center"/>
        <w:rPr>
          <w:rFonts w:hint="eastAsia" w:ascii="Times New Roman" w:hAnsi="Times New Roman" w:eastAsia="宋体"/>
          <w:color w:val="000000"/>
          <w:sz w:val="32"/>
          <w:highlight w:val="none"/>
        </w:rPr>
      </w:pPr>
      <w:r>
        <w:rPr>
          <w:rFonts w:ascii="Times New Roman" w:hAnsi="Times New Roman" w:eastAsia="宋体"/>
          <w:color w:val="000000"/>
          <w:sz w:val="32"/>
          <w:highlight w:val="none"/>
        </w:rPr>
        <w:br w:type="page"/>
      </w:r>
      <w:bookmarkStart w:id="215" w:name="_Toc212102898"/>
      <w:bookmarkStart w:id="216" w:name="_Toc317237642"/>
      <w:bookmarkStart w:id="217" w:name="_Toc28136"/>
      <w:bookmarkStart w:id="218" w:name="_Toc10603"/>
      <w:r>
        <w:rPr>
          <w:rFonts w:hint="eastAsia" w:ascii="Times New Roman" w:hAnsi="Times New Roman" w:eastAsia="宋体"/>
          <w:color w:val="000000"/>
          <w:sz w:val="32"/>
          <w:highlight w:val="none"/>
        </w:rPr>
        <w:t>5、反商业贿赂承诺书格式</w:t>
      </w:r>
      <w:bookmarkEnd w:id="215"/>
      <w:bookmarkEnd w:id="216"/>
      <w:bookmarkEnd w:id="217"/>
      <w:bookmarkEnd w:id="218"/>
    </w:p>
    <w:p>
      <w:pPr>
        <w:pageBreakBefore w:val="0"/>
        <w:kinsoku/>
        <w:topLinePunct w:val="0"/>
        <w:bidi w:val="0"/>
        <w:spacing w:line="360" w:lineRule="auto"/>
        <w:jc w:val="left"/>
        <w:rPr>
          <w:rFonts w:hint="eastAsia"/>
          <w:color w:val="000000"/>
          <w:sz w:val="24"/>
          <w:highlight w:val="none"/>
        </w:rPr>
      </w:pPr>
    </w:p>
    <w:p>
      <w:pPr>
        <w:pageBreakBefore w:val="0"/>
        <w:kinsoku/>
        <w:topLinePunct w:val="0"/>
        <w:bidi w:val="0"/>
        <w:spacing w:line="360" w:lineRule="auto"/>
        <w:jc w:val="left"/>
        <w:rPr>
          <w:rFonts w:hint="eastAsia"/>
          <w:color w:val="000000"/>
          <w:sz w:val="24"/>
          <w:highlight w:val="none"/>
        </w:rPr>
      </w:pPr>
    </w:p>
    <w:p>
      <w:pPr>
        <w:pageBreakBefore w:val="0"/>
        <w:kinsoku/>
        <w:topLinePunct w:val="0"/>
        <w:bidi w:val="0"/>
        <w:spacing w:line="360" w:lineRule="auto"/>
        <w:jc w:val="center"/>
        <w:rPr>
          <w:rFonts w:hint="eastAsia"/>
          <w:color w:val="000000"/>
          <w:sz w:val="36"/>
          <w:szCs w:val="36"/>
          <w:highlight w:val="none"/>
        </w:rPr>
      </w:pPr>
      <w:r>
        <w:rPr>
          <w:rFonts w:hint="eastAsia"/>
          <w:color w:val="000000"/>
          <w:sz w:val="36"/>
          <w:szCs w:val="36"/>
          <w:highlight w:val="none"/>
        </w:rPr>
        <w:t>反商业贿赂承诺书</w:t>
      </w:r>
    </w:p>
    <w:p>
      <w:pPr>
        <w:pageBreakBefore w:val="0"/>
        <w:kinsoku/>
        <w:topLinePunct w:val="0"/>
        <w:bidi w:val="0"/>
        <w:spacing w:line="360" w:lineRule="auto"/>
        <w:rPr>
          <w:rFonts w:hint="eastAsia"/>
          <w:color w:val="000000"/>
          <w:sz w:val="24"/>
          <w:highlight w:val="none"/>
        </w:rPr>
      </w:pPr>
    </w:p>
    <w:p>
      <w:pPr>
        <w:pageBreakBefore w:val="0"/>
        <w:kinsoku/>
        <w:topLinePunct w:val="0"/>
        <w:bidi w:val="0"/>
        <w:spacing w:line="360" w:lineRule="auto"/>
        <w:rPr>
          <w:rFonts w:hint="eastAsia"/>
          <w:color w:val="000000"/>
          <w:sz w:val="24"/>
          <w:highlight w:val="none"/>
        </w:rPr>
      </w:pPr>
    </w:p>
    <w:p>
      <w:pPr>
        <w:pageBreakBefore w:val="0"/>
        <w:kinsoku/>
        <w:topLinePunct w:val="0"/>
        <w:bidi w:val="0"/>
        <w:spacing w:line="360" w:lineRule="auto"/>
        <w:jc w:val="left"/>
        <w:rPr>
          <w:rFonts w:hint="eastAsia"/>
          <w:b/>
          <w:color w:val="000000"/>
          <w:sz w:val="28"/>
          <w:szCs w:val="28"/>
          <w:highlight w:val="none"/>
        </w:rPr>
      </w:pPr>
      <w:r>
        <w:rPr>
          <w:rFonts w:hint="eastAsia"/>
          <w:b/>
          <w:color w:val="000000"/>
          <w:sz w:val="28"/>
          <w:szCs w:val="28"/>
          <w:highlight w:val="none"/>
        </w:rPr>
        <w:t>我公司郑重承诺：</w:t>
      </w:r>
    </w:p>
    <w:p>
      <w:pPr>
        <w:pageBreakBefore w:val="0"/>
        <w:kinsoku/>
        <w:topLinePunct w:val="0"/>
        <w:bidi w:val="0"/>
        <w:spacing w:line="360" w:lineRule="auto"/>
        <w:ind w:firstLine="480"/>
        <w:rPr>
          <w:rFonts w:hint="eastAsia"/>
          <w:color w:val="000000"/>
          <w:sz w:val="24"/>
          <w:highlight w:val="none"/>
        </w:rPr>
      </w:pPr>
      <w:r>
        <w:rPr>
          <w:rFonts w:hint="eastAsia"/>
          <w:color w:val="000000"/>
          <w:sz w:val="24"/>
          <w:highlight w:val="none"/>
        </w:rPr>
        <w:t>在</w:t>
      </w:r>
      <w:r>
        <w:rPr>
          <w:rFonts w:hint="eastAsia" w:ascii="宋体" w:hAnsi="宋体" w:eastAsia="宋体" w:cs="宋体"/>
          <w:b w:val="0"/>
          <w:bCs w:val="0"/>
          <w:color w:val="000000"/>
          <w:sz w:val="24"/>
          <w:szCs w:val="24"/>
          <w:u w:val="single"/>
          <w:lang w:val="en-US" w:eastAsia="zh-CN"/>
        </w:rPr>
        <w:t xml:space="preserve">                        （项目名称）      （</w:t>
      </w:r>
      <w:r>
        <w:rPr>
          <w:rFonts w:hint="eastAsia" w:ascii="宋体" w:hAnsi="宋体" w:eastAsia="宋体" w:cs="宋体"/>
          <w:color w:val="000000"/>
          <w:sz w:val="24"/>
          <w:szCs w:val="24"/>
          <w:highlight w:val="none"/>
          <w:u w:val="single"/>
          <w:lang w:val="en-US" w:eastAsia="zh-CN"/>
        </w:rPr>
        <w:t>包号）</w:t>
      </w:r>
      <w:r>
        <w:rPr>
          <w:rFonts w:hint="eastAsia"/>
          <w:color w:val="000000"/>
          <w:sz w:val="24"/>
          <w:highlight w:val="none"/>
        </w:rPr>
        <w:t>磋商项目采购活动中，我公司保证做到：</w:t>
      </w:r>
    </w:p>
    <w:p>
      <w:pPr>
        <w:pageBreakBefore w:val="0"/>
        <w:kinsoku/>
        <w:topLinePunct w:val="0"/>
        <w:bidi w:val="0"/>
        <w:spacing w:line="360" w:lineRule="auto"/>
        <w:ind w:firstLine="480"/>
        <w:rPr>
          <w:rFonts w:hint="eastAsia"/>
          <w:color w:val="000000"/>
          <w:sz w:val="24"/>
          <w:highlight w:val="none"/>
        </w:rPr>
      </w:pPr>
      <w:r>
        <w:rPr>
          <w:rFonts w:hint="eastAsia"/>
          <w:color w:val="000000"/>
          <w:sz w:val="24"/>
          <w:highlight w:val="none"/>
        </w:rPr>
        <w:t>一、公平竞争参加本磋商项目。</w:t>
      </w:r>
    </w:p>
    <w:p>
      <w:pPr>
        <w:pageBreakBefore w:val="0"/>
        <w:kinsoku/>
        <w:topLinePunct w:val="0"/>
        <w:bidi w:val="0"/>
        <w:spacing w:line="360" w:lineRule="auto"/>
        <w:ind w:firstLine="480"/>
        <w:rPr>
          <w:rFonts w:hint="eastAsia"/>
          <w:color w:val="000000"/>
          <w:sz w:val="24"/>
          <w:highlight w:val="none"/>
        </w:rPr>
      </w:pPr>
      <w:r>
        <w:rPr>
          <w:rFonts w:hint="eastAsia"/>
          <w:color w:val="000000"/>
          <w:sz w:val="24"/>
          <w:highlight w:val="none"/>
        </w:rPr>
        <w:t>二、杜绝任何形式的商业贿赂行为。不向国家工作人员、政府采购代理机构工作人员、评审专家及其亲属提供礼品礼金、有价证券、购物券、回扣、佣金、咨询费、劳务费、赞助费、宣传费和宴请等；不为其报销各种消费凭证，不支付其旅游、娱乐等费用。</w:t>
      </w:r>
    </w:p>
    <w:p>
      <w:pPr>
        <w:pageBreakBefore w:val="0"/>
        <w:kinsoku/>
        <w:topLinePunct w:val="0"/>
        <w:bidi w:val="0"/>
        <w:spacing w:line="360" w:lineRule="auto"/>
        <w:ind w:firstLine="480"/>
        <w:rPr>
          <w:rFonts w:hint="eastAsia"/>
          <w:color w:val="000000"/>
          <w:sz w:val="24"/>
          <w:highlight w:val="none"/>
        </w:rPr>
      </w:pPr>
      <w:r>
        <w:rPr>
          <w:rFonts w:hint="eastAsia"/>
          <w:color w:val="000000"/>
          <w:sz w:val="24"/>
          <w:highlight w:val="none"/>
        </w:rPr>
        <w:t>三、若出现上述行为，我公司及参与磋商的工作人员愿意接受按照国家法律法规等有关规定给予的处罚。</w:t>
      </w:r>
    </w:p>
    <w:p>
      <w:pPr>
        <w:pageBreakBefore w:val="0"/>
        <w:kinsoku/>
        <w:topLinePunct w:val="0"/>
        <w:bidi w:val="0"/>
        <w:spacing w:line="360" w:lineRule="auto"/>
        <w:rPr>
          <w:rFonts w:hint="eastAsia"/>
          <w:color w:val="000000"/>
          <w:sz w:val="24"/>
          <w:highlight w:val="none"/>
        </w:rPr>
      </w:pPr>
    </w:p>
    <w:p>
      <w:pPr>
        <w:pageBreakBefore w:val="0"/>
        <w:kinsoku/>
        <w:topLinePunct w:val="0"/>
        <w:bidi w:val="0"/>
        <w:spacing w:line="360" w:lineRule="auto"/>
        <w:rPr>
          <w:rFonts w:hint="eastAsia"/>
          <w:color w:val="000000"/>
          <w:sz w:val="24"/>
          <w:highlight w:val="none"/>
        </w:rPr>
      </w:pPr>
      <w:r>
        <w:rPr>
          <w:rFonts w:hint="eastAsia"/>
          <w:color w:val="000000"/>
          <w:sz w:val="24"/>
          <w:highlight w:val="none"/>
        </w:rPr>
        <w:t>法定代表人或授权代表：</w:t>
      </w:r>
      <w:r>
        <w:rPr>
          <w:rFonts w:hint="eastAsia"/>
          <w:iCs/>
          <w:color w:val="000000"/>
          <w:sz w:val="24"/>
          <w:szCs w:val="21"/>
          <w:highlight w:val="none"/>
        </w:rPr>
        <w:t>（签字或盖章）</w:t>
      </w:r>
    </w:p>
    <w:p>
      <w:pPr>
        <w:pageBreakBefore w:val="0"/>
        <w:kinsoku/>
        <w:topLinePunct w:val="0"/>
        <w:bidi w:val="0"/>
        <w:spacing w:line="360" w:lineRule="auto"/>
        <w:rPr>
          <w:rFonts w:hint="eastAsia"/>
          <w:color w:val="000000"/>
          <w:sz w:val="24"/>
          <w:highlight w:val="none"/>
        </w:rPr>
      </w:pPr>
    </w:p>
    <w:p>
      <w:pPr>
        <w:pageBreakBefore w:val="0"/>
        <w:kinsoku/>
        <w:topLinePunct w:val="0"/>
        <w:bidi w:val="0"/>
        <w:spacing w:line="360" w:lineRule="auto"/>
        <w:rPr>
          <w:rFonts w:hint="eastAsia"/>
          <w:color w:val="000000"/>
          <w:sz w:val="24"/>
          <w:highlight w:val="none"/>
        </w:rPr>
      </w:pPr>
    </w:p>
    <w:p>
      <w:pPr>
        <w:pageBreakBefore w:val="0"/>
        <w:kinsoku/>
        <w:topLinePunct w:val="0"/>
        <w:bidi w:val="0"/>
        <w:spacing w:line="360" w:lineRule="auto"/>
        <w:rPr>
          <w:rFonts w:hint="eastAsia"/>
          <w:color w:val="000000"/>
          <w:sz w:val="24"/>
          <w:highlight w:val="none"/>
        </w:rPr>
      </w:pPr>
    </w:p>
    <w:p>
      <w:pPr>
        <w:pageBreakBefore w:val="0"/>
        <w:kinsoku/>
        <w:topLinePunct w:val="0"/>
        <w:bidi w:val="0"/>
        <w:spacing w:line="360" w:lineRule="auto"/>
        <w:rPr>
          <w:rFonts w:hint="eastAsia"/>
          <w:color w:val="000000"/>
          <w:sz w:val="24"/>
          <w:highlight w:val="none"/>
        </w:rPr>
      </w:pPr>
    </w:p>
    <w:p>
      <w:pPr>
        <w:pageBreakBefore w:val="0"/>
        <w:kinsoku/>
        <w:topLinePunct w:val="0"/>
        <w:bidi w:val="0"/>
        <w:spacing w:line="360" w:lineRule="auto"/>
        <w:ind w:firstLine="2400" w:firstLineChars="1000"/>
        <w:jc w:val="center"/>
        <w:rPr>
          <w:rFonts w:hint="eastAsia"/>
          <w:iCs/>
          <w:color w:val="000000"/>
          <w:sz w:val="24"/>
          <w:highlight w:val="none"/>
        </w:rPr>
      </w:pPr>
      <w:r>
        <w:rPr>
          <w:rFonts w:hint="eastAsia"/>
          <w:iCs/>
          <w:color w:val="000000"/>
          <w:sz w:val="24"/>
          <w:highlight w:val="none"/>
          <w:lang w:eastAsia="zh-CN"/>
        </w:rPr>
        <w:t>供应商名称</w:t>
      </w:r>
      <w:r>
        <w:rPr>
          <w:rFonts w:hint="eastAsia"/>
          <w:iCs/>
          <w:color w:val="000000"/>
          <w:sz w:val="24"/>
          <w:highlight w:val="none"/>
        </w:rPr>
        <w:t>：</w:t>
      </w:r>
      <w:r>
        <w:rPr>
          <w:rFonts w:hint="eastAsia"/>
          <w:color w:val="000000"/>
          <w:sz w:val="24"/>
          <w:highlight w:val="none"/>
        </w:rPr>
        <w:t>（填写</w:t>
      </w:r>
      <w:r>
        <w:rPr>
          <w:rFonts w:hint="eastAsia"/>
          <w:color w:val="000000"/>
          <w:sz w:val="24"/>
          <w:highlight w:val="none"/>
          <w:lang w:eastAsia="zh-CN"/>
        </w:rPr>
        <w:t>单位</w:t>
      </w:r>
      <w:r>
        <w:rPr>
          <w:rFonts w:hint="eastAsia"/>
          <w:color w:val="000000"/>
          <w:sz w:val="24"/>
          <w:highlight w:val="none"/>
        </w:rPr>
        <w:t>名称并</w:t>
      </w:r>
      <w:r>
        <w:rPr>
          <w:rFonts w:hint="eastAsia"/>
          <w:color w:val="000000"/>
          <w:sz w:val="24"/>
          <w:highlight w:val="none"/>
          <w:lang w:eastAsia="zh-CN"/>
        </w:rPr>
        <w:t>加盖公章</w:t>
      </w:r>
      <w:r>
        <w:rPr>
          <w:rFonts w:hint="eastAsia"/>
          <w:color w:val="000000"/>
          <w:sz w:val="24"/>
          <w:highlight w:val="none"/>
        </w:rPr>
        <w:t>）</w:t>
      </w:r>
    </w:p>
    <w:p>
      <w:pPr>
        <w:pageBreakBefore w:val="0"/>
        <w:kinsoku/>
        <w:topLinePunct w:val="0"/>
        <w:bidi w:val="0"/>
        <w:spacing w:line="360" w:lineRule="auto"/>
        <w:ind w:firstLine="2400" w:firstLineChars="1000"/>
        <w:jc w:val="center"/>
        <w:rPr>
          <w:color w:val="000000"/>
          <w:sz w:val="24"/>
          <w:highlight w:val="none"/>
        </w:rPr>
      </w:pPr>
      <w:r>
        <w:rPr>
          <w:rFonts w:hint="eastAsia"/>
          <w:color w:val="000000"/>
          <w:sz w:val="24"/>
          <w:highlight w:val="none"/>
        </w:rPr>
        <w:t xml:space="preserve">   年  月  日</w:t>
      </w:r>
    </w:p>
    <w:p>
      <w:pPr>
        <w:pStyle w:val="2"/>
        <w:keepNext w:val="0"/>
        <w:keepLines w:val="0"/>
        <w:pageBreakBefore w:val="0"/>
        <w:numPr>
          <w:ilvl w:val="0"/>
          <w:numId w:val="0"/>
        </w:numPr>
        <w:tabs>
          <w:tab w:val="left" w:pos="360"/>
          <w:tab w:val="left" w:pos="540"/>
        </w:tabs>
        <w:kinsoku/>
        <w:topLinePunct w:val="0"/>
        <w:bidi w:val="0"/>
        <w:spacing w:before="160" w:beforeLines="50" w:beforeAutospacing="0" w:after="160" w:afterLines="50" w:afterAutospacing="0" w:line="360" w:lineRule="auto"/>
        <w:ind w:leftChars="0"/>
        <w:jc w:val="center"/>
        <w:rPr>
          <w:rFonts w:hint="eastAsia" w:ascii="Times New Roman" w:hAnsi="Times New Roman" w:eastAsia="宋体"/>
          <w:color w:val="000000"/>
          <w:sz w:val="32"/>
          <w:highlight w:val="none"/>
        </w:rPr>
      </w:pPr>
      <w:r>
        <w:rPr>
          <w:rFonts w:ascii="Times New Roman" w:hAnsi="Times New Roman" w:eastAsia="宋体"/>
          <w:color w:val="000000"/>
          <w:sz w:val="24"/>
          <w:highlight w:val="none"/>
        </w:rPr>
        <w:br w:type="page"/>
      </w:r>
      <w:bookmarkStart w:id="219" w:name="_Toc970"/>
      <w:bookmarkStart w:id="220" w:name="_Toc1983"/>
      <w:bookmarkStart w:id="221" w:name="_Toc317237643"/>
      <w:r>
        <w:rPr>
          <w:rFonts w:hint="eastAsia" w:ascii="Times New Roman" w:hAnsi="Times New Roman" w:eastAsia="宋体"/>
          <w:b/>
          <w:bCs/>
          <w:color w:val="000000"/>
          <w:sz w:val="32"/>
          <w:highlight w:val="none"/>
          <w:lang w:val="en-US" w:eastAsia="zh-CN"/>
        </w:rPr>
        <w:t>6、</w:t>
      </w:r>
      <w:r>
        <w:rPr>
          <w:rFonts w:hint="eastAsia" w:ascii="Times New Roman" w:hAnsi="Times New Roman" w:eastAsia="宋体"/>
          <w:b/>
          <w:bCs/>
          <w:color w:val="000000"/>
          <w:sz w:val="32"/>
          <w:highlight w:val="none"/>
        </w:rPr>
        <w:t>诚信投标、诚信履约承诺书</w:t>
      </w:r>
      <w:bookmarkEnd w:id="219"/>
      <w:bookmarkEnd w:id="220"/>
    </w:p>
    <w:p>
      <w:pPr>
        <w:pageBreakBefore w:val="0"/>
        <w:kinsoku/>
        <w:topLinePunct w:val="0"/>
        <w:bidi w:val="0"/>
        <w:spacing w:line="360" w:lineRule="auto"/>
        <w:rPr>
          <w:rFonts w:hint="eastAsia"/>
          <w:color w:val="000000"/>
          <w:highlight w:val="none"/>
        </w:rPr>
      </w:pPr>
    </w:p>
    <w:p>
      <w:pPr>
        <w:pageBreakBefore w:val="0"/>
        <w:kinsoku/>
        <w:topLinePunct w:val="0"/>
        <w:bidi w:val="0"/>
        <w:spacing w:line="360" w:lineRule="auto"/>
        <w:jc w:val="center"/>
        <w:rPr>
          <w:rFonts w:hint="eastAsia"/>
          <w:color w:val="000000"/>
          <w:sz w:val="36"/>
          <w:szCs w:val="36"/>
          <w:highlight w:val="none"/>
        </w:rPr>
      </w:pPr>
      <w:r>
        <w:rPr>
          <w:rFonts w:hint="eastAsia"/>
          <w:color w:val="000000"/>
          <w:sz w:val="36"/>
          <w:szCs w:val="36"/>
          <w:highlight w:val="none"/>
        </w:rPr>
        <w:t>诚信投标、诚信履约承诺书</w:t>
      </w:r>
    </w:p>
    <w:p>
      <w:pPr>
        <w:pageBreakBefore w:val="0"/>
        <w:kinsoku/>
        <w:topLinePunct w:val="0"/>
        <w:bidi w:val="0"/>
        <w:spacing w:line="360" w:lineRule="auto"/>
        <w:rPr>
          <w:rFonts w:hint="eastAsia"/>
          <w:color w:val="000000"/>
          <w:highlight w:val="none"/>
        </w:rPr>
      </w:pPr>
    </w:p>
    <w:p>
      <w:pPr>
        <w:pageBreakBefore w:val="0"/>
        <w:kinsoku/>
        <w:topLinePunct w:val="0"/>
        <w:bidi w:val="0"/>
        <w:spacing w:line="360" w:lineRule="auto"/>
        <w:rPr>
          <w:rFonts w:hint="eastAsia"/>
          <w:color w:val="000000"/>
          <w:highlight w:val="none"/>
        </w:rPr>
      </w:pPr>
    </w:p>
    <w:p>
      <w:pPr>
        <w:pageBreakBefore w:val="0"/>
        <w:kinsoku/>
        <w:topLinePunct w:val="0"/>
        <w:bidi w:val="0"/>
        <w:snapToGrid w:val="0"/>
        <w:spacing w:line="360" w:lineRule="auto"/>
        <w:rPr>
          <w:rFonts w:hint="eastAsia"/>
          <w:color w:val="000000"/>
          <w:sz w:val="24"/>
          <w:highlight w:val="none"/>
        </w:rPr>
      </w:pPr>
      <w:r>
        <w:rPr>
          <w:rFonts w:hint="eastAsia"/>
          <w:color w:val="000000"/>
          <w:sz w:val="24"/>
          <w:highlight w:val="none"/>
          <w:lang w:eastAsia="zh-CN"/>
        </w:rPr>
        <w:t>白沙黎族自治县教育局</w:t>
      </w:r>
      <w:r>
        <w:rPr>
          <w:rFonts w:hint="eastAsia"/>
          <w:color w:val="000000"/>
          <w:sz w:val="24"/>
          <w:highlight w:val="none"/>
        </w:rPr>
        <w:t>：</w:t>
      </w:r>
    </w:p>
    <w:p>
      <w:pPr>
        <w:pageBreakBefore w:val="0"/>
        <w:kinsoku/>
        <w:topLinePunct w:val="0"/>
        <w:bidi w:val="0"/>
        <w:snapToGrid w:val="0"/>
        <w:spacing w:line="360" w:lineRule="auto"/>
        <w:ind w:firstLine="480" w:firstLineChars="200"/>
        <w:rPr>
          <w:rFonts w:hint="eastAsia"/>
          <w:color w:val="000000"/>
          <w:sz w:val="24"/>
          <w:highlight w:val="none"/>
        </w:rPr>
      </w:pPr>
      <w:r>
        <w:rPr>
          <w:rFonts w:hint="eastAsia"/>
          <w:color w:val="000000"/>
          <w:sz w:val="24"/>
          <w:highlight w:val="none"/>
        </w:rPr>
        <w:t>我方就本磋商采购活动向贵方郑重承诺：</w:t>
      </w:r>
    </w:p>
    <w:p>
      <w:pPr>
        <w:pageBreakBefore w:val="0"/>
        <w:kinsoku/>
        <w:topLinePunct w:val="0"/>
        <w:bidi w:val="0"/>
        <w:snapToGrid w:val="0"/>
        <w:spacing w:line="360" w:lineRule="auto"/>
        <w:ind w:firstLine="480" w:firstLineChars="200"/>
        <w:rPr>
          <w:rFonts w:hint="eastAsia"/>
          <w:color w:val="000000"/>
          <w:sz w:val="24"/>
          <w:highlight w:val="none"/>
        </w:rPr>
      </w:pPr>
      <w:r>
        <w:rPr>
          <w:rFonts w:hint="eastAsia"/>
          <w:color w:val="000000"/>
          <w:sz w:val="24"/>
          <w:highlight w:val="none"/>
        </w:rPr>
        <w:t>一、我们已经充分理解了磋商文件规定的所有采购要求、成交条件和合同条款，没有任何异议。</w:t>
      </w:r>
    </w:p>
    <w:p>
      <w:pPr>
        <w:pageBreakBefore w:val="0"/>
        <w:kinsoku/>
        <w:topLinePunct w:val="0"/>
        <w:bidi w:val="0"/>
        <w:snapToGrid w:val="0"/>
        <w:spacing w:line="360" w:lineRule="auto"/>
        <w:ind w:firstLine="480" w:firstLineChars="200"/>
        <w:rPr>
          <w:rFonts w:hint="eastAsia"/>
          <w:color w:val="000000"/>
          <w:sz w:val="24"/>
          <w:highlight w:val="none"/>
        </w:rPr>
      </w:pPr>
      <w:r>
        <w:rPr>
          <w:rFonts w:hint="eastAsia"/>
          <w:color w:val="000000"/>
          <w:sz w:val="24"/>
          <w:highlight w:val="none"/>
        </w:rPr>
        <w:t>二、我们在响应文件中提交的所有商务文件和资格证明文件都是真实有效的；我们做出的所有技术响应都是真实可信、可以实现、并经得起验收检验的。我们保证所有的响应在磋商有效期内不发生任何变更。</w:t>
      </w:r>
    </w:p>
    <w:p>
      <w:pPr>
        <w:pageBreakBefore w:val="0"/>
        <w:kinsoku/>
        <w:topLinePunct w:val="0"/>
        <w:bidi w:val="0"/>
        <w:snapToGrid w:val="0"/>
        <w:spacing w:line="360" w:lineRule="auto"/>
        <w:ind w:firstLine="480" w:firstLineChars="200"/>
        <w:rPr>
          <w:rFonts w:hint="eastAsia"/>
          <w:color w:val="000000"/>
          <w:sz w:val="24"/>
          <w:highlight w:val="none"/>
        </w:rPr>
      </w:pPr>
      <w:r>
        <w:rPr>
          <w:rFonts w:hint="eastAsia"/>
          <w:color w:val="000000"/>
          <w:sz w:val="24"/>
          <w:highlight w:val="none"/>
        </w:rPr>
        <w:t>三、我们的磋商报价包含了履行合同所需的全部费用。不论何种原因造成的报价漏项损失，我方全部承担，不会提出任何增加费用的要求。</w:t>
      </w:r>
    </w:p>
    <w:p>
      <w:pPr>
        <w:pageBreakBefore w:val="0"/>
        <w:kinsoku/>
        <w:topLinePunct w:val="0"/>
        <w:bidi w:val="0"/>
        <w:snapToGrid w:val="0"/>
        <w:spacing w:line="360" w:lineRule="auto"/>
        <w:ind w:firstLine="480" w:firstLineChars="200"/>
        <w:rPr>
          <w:rFonts w:hint="eastAsia"/>
          <w:color w:val="000000"/>
          <w:sz w:val="24"/>
          <w:highlight w:val="none"/>
        </w:rPr>
      </w:pPr>
      <w:r>
        <w:rPr>
          <w:rFonts w:hint="eastAsia"/>
          <w:color w:val="000000"/>
          <w:sz w:val="24"/>
          <w:highlight w:val="none"/>
        </w:rPr>
        <w:t>四、我们知道，如果成交后放弃成交，不论原因何在，都是不诚信的行为，都会给采购项目造成损失。如果采购人将本合同授予我们，我们将承担所有的潜在合同风险，绝不以任何理由放弃成交。</w:t>
      </w:r>
    </w:p>
    <w:p>
      <w:pPr>
        <w:pageBreakBefore w:val="0"/>
        <w:kinsoku/>
        <w:topLinePunct w:val="0"/>
        <w:bidi w:val="0"/>
        <w:snapToGrid w:val="0"/>
        <w:spacing w:line="360" w:lineRule="auto"/>
        <w:ind w:firstLine="480" w:firstLineChars="200"/>
        <w:rPr>
          <w:rFonts w:hint="eastAsia"/>
          <w:color w:val="000000"/>
          <w:sz w:val="24"/>
          <w:highlight w:val="none"/>
        </w:rPr>
      </w:pPr>
      <w:r>
        <w:rPr>
          <w:rFonts w:hint="eastAsia"/>
          <w:color w:val="000000"/>
          <w:sz w:val="24"/>
          <w:highlight w:val="none"/>
        </w:rPr>
        <w:t>五、我们知道，成交后拒签或故意拖延签署合同、拒绝履行或故意拖延履行合同，不论原因何在，都是不诚信履约的行为。如果采购人将本合同授予我们，我们将如约在规定的期限内签署合同，在规定的期限内履行合同。</w:t>
      </w:r>
    </w:p>
    <w:p>
      <w:pPr>
        <w:pageBreakBefore w:val="0"/>
        <w:kinsoku/>
        <w:topLinePunct w:val="0"/>
        <w:bidi w:val="0"/>
        <w:snapToGrid w:val="0"/>
        <w:spacing w:line="360" w:lineRule="auto"/>
        <w:ind w:firstLine="480" w:firstLineChars="200"/>
        <w:rPr>
          <w:rFonts w:hint="eastAsia"/>
          <w:color w:val="000000"/>
          <w:sz w:val="24"/>
          <w:highlight w:val="none"/>
        </w:rPr>
      </w:pPr>
      <w:r>
        <w:rPr>
          <w:rFonts w:hint="eastAsia"/>
          <w:color w:val="000000"/>
          <w:sz w:val="24"/>
          <w:highlight w:val="none"/>
        </w:rPr>
        <w:t>六、我们声明：我方在溯往两年内的政府采购活动中，没有成交后放弃成交、拒签或故意拖延签署合同、拒绝履行或故意拖延履行合同的不诚信行为。</w:t>
      </w:r>
    </w:p>
    <w:p>
      <w:pPr>
        <w:pageBreakBefore w:val="0"/>
        <w:kinsoku/>
        <w:topLinePunct w:val="0"/>
        <w:bidi w:val="0"/>
        <w:snapToGrid w:val="0"/>
        <w:spacing w:line="360" w:lineRule="auto"/>
        <w:ind w:firstLine="480" w:firstLineChars="200"/>
        <w:rPr>
          <w:rFonts w:hint="eastAsia"/>
          <w:color w:val="000000"/>
          <w:sz w:val="24"/>
          <w:highlight w:val="none"/>
        </w:rPr>
      </w:pPr>
      <w:r>
        <w:rPr>
          <w:rFonts w:hint="eastAsia"/>
          <w:color w:val="000000"/>
          <w:sz w:val="24"/>
          <w:highlight w:val="none"/>
        </w:rPr>
        <w:t>以上承诺，能够经受来自任何方面的审查和监督。如有虚假或背离，我方愿承担由此引发的一切不利后果，无条件接受采购人的处置和政府采购监管单位的处罚。</w:t>
      </w:r>
    </w:p>
    <w:p>
      <w:pPr>
        <w:pageBreakBefore w:val="0"/>
        <w:kinsoku/>
        <w:topLinePunct w:val="0"/>
        <w:bidi w:val="0"/>
        <w:snapToGrid w:val="0"/>
        <w:spacing w:line="360" w:lineRule="auto"/>
        <w:rPr>
          <w:rFonts w:hint="eastAsia"/>
          <w:color w:val="000000"/>
          <w:sz w:val="24"/>
          <w:highlight w:val="none"/>
        </w:rPr>
      </w:pPr>
    </w:p>
    <w:p>
      <w:pPr>
        <w:pageBreakBefore w:val="0"/>
        <w:kinsoku/>
        <w:topLinePunct w:val="0"/>
        <w:bidi w:val="0"/>
        <w:snapToGrid w:val="0"/>
        <w:spacing w:line="360" w:lineRule="auto"/>
        <w:rPr>
          <w:rFonts w:hint="eastAsia"/>
          <w:color w:val="000000"/>
          <w:sz w:val="24"/>
          <w:highlight w:val="none"/>
        </w:rPr>
      </w:pPr>
    </w:p>
    <w:p>
      <w:pPr>
        <w:pageBreakBefore w:val="0"/>
        <w:kinsoku/>
        <w:topLinePunct w:val="0"/>
        <w:bidi w:val="0"/>
        <w:snapToGrid w:val="0"/>
        <w:spacing w:line="360" w:lineRule="auto"/>
        <w:jc w:val="center"/>
        <w:rPr>
          <w:rFonts w:hint="eastAsia"/>
          <w:color w:val="000000"/>
          <w:sz w:val="24"/>
          <w:highlight w:val="none"/>
        </w:rPr>
      </w:pPr>
      <w:r>
        <w:rPr>
          <w:rFonts w:hint="eastAsia"/>
          <w:color w:val="000000"/>
          <w:sz w:val="24"/>
          <w:highlight w:val="none"/>
          <w:lang w:val="en-US" w:eastAsia="zh-CN"/>
        </w:rPr>
        <w:t xml:space="preserve">          供应商名称</w:t>
      </w:r>
      <w:r>
        <w:rPr>
          <w:rFonts w:hint="eastAsia"/>
          <w:color w:val="000000"/>
          <w:sz w:val="24"/>
          <w:highlight w:val="none"/>
        </w:rPr>
        <w:t>：（填写</w:t>
      </w:r>
      <w:r>
        <w:rPr>
          <w:rFonts w:hint="eastAsia"/>
          <w:color w:val="000000"/>
          <w:sz w:val="24"/>
          <w:highlight w:val="none"/>
          <w:lang w:eastAsia="zh-CN"/>
        </w:rPr>
        <w:t>单位</w:t>
      </w:r>
      <w:r>
        <w:rPr>
          <w:rFonts w:hint="eastAsia"/>
          <w:color w:val="000000"/>
          <w:sz w:val="24"/>
          <w:highlight w:val="none"/>
        </w:rPr>
        <w:t>名称并</w:t>
      </w:r>
      <w:r>
        <w:rPr>
          <w:rFonts w:hint="eastAsia"/>
          <w:color w:val="000000"/>
          <w:sz w:val="24"/>
          <w:highlight w:val="none"/>
          <w:lang w:eastAsia="zh-CN"/>
        </w:rPr>
        <w:t>加盖公章</w:t>
      </w:r>
      <w:r>
        <w:rPr>
          <w:rFonts w:hint="eastAsia"/>
          <w:color w:val="000000"/>
          <w:sz w:val="24"/>
          <w:highlight w:val="none"/>
        </w:rPr>
        <w:t>）</w:t>
      </w:r>
    </w:p>
    <w:p>
      <w:pPr>
        <w:pageBreakBefore w:val="0"/>
        <w:kinsoku/>
        <w:topLinePunct w:val="0"/>
        <w:bidi w:val="0"/>
        <w:snapToGrid w:val="0"/>
        <w:spacing w:line="360" w:lineRule="auto"/>
        <w:jc w:val="center"/>
        <w:rPr>
          <w:rFonts w:hint="eastAsia"/>
          <w:color w:val="000000"/>
          <w:sz w:val="24"/>
          <w:highlight w:val="none"/>
        </w:rPr>
      </w:pPr>
      <w:r>
        <w:rPr>
          <w:rFonts w:hint="eastAsia"/>
          <w:color w:val="000000"/>
          <w:sz w:val="24"/>
          <w:highlight w:val="none"/>
        </w:rPr>
        <w:t>法定代表人：</w:t>
      </w:r>
      <w:r>
        <w:rPr>
          <w:rFonts w:hint="eastAsia"/>
          <w:iCs/>
          <w:color w:val="000000"/>
          <w:sz w:val="24"/>
          <w:szCs w:val="21"/>
          <w:highlight w:val="none"/>
        </w:rPr>
        <w:t>（签字或盖章）</w:t>
      </w:r>
    </w:p>
    <w:p>
      <w:pPr>
        <w:pageBreakBefore w:val="0"/>
        <w:kinsoku/>
        <w:topLinePunct w:val="0"/>
        <w:bidi w:val="0"/>
        <w:snapToGrid w:val="0"/>
        <w:spacing w:line="360" w:lineRule="auto"/>
        <w:ind w:firstLine="2880" w:firstLineChars="1200"/>
        <w:rPr>
          <w:rFonts w:hint="eastAsia"/>
          <w:color w:val="000000"/>
          <w:sz w:val="24"/>
          <w:highlight w:val="none"/>
        </w:rPr>
      </w:pPr>
      <w:r>
        <w:rPr>
          <w:rFonts w:hint="eastAsia"/>
          <w:color w:val="000000"/>
          <w:sz w:val="24"/>
          <w:highlight w:val="none"/>
        </w:rPr>
        <w:t>日</w:t>
      </w:r>
      <w:r>
        <w:rPr>
          <w:rFonts w:hint="eastAsia"/>
          <w:color w:val="000000"/>
          <w:sz w:val="24"/>
          <w:highlight w:val="none"/>
          <w:lang w:val="en-US" w:eastAsia="zh-CN"/>
        </w:rPr>
        <w:t xml:space="preserve">     </w:t>
      </w:r>
      <w:r>
        <w:rPr>
          <w:rFonts w:hint="eastAsia"/>
          <w:color w:val="000000"/>
          <w:sz w:val="24"/>
          <w:highlight w:val="none"/>
        </w:rPr>
        <w:t>期：</w:t>
      </w:r>
    </w:p>
    <w:p>
      <w:pPr>
        <w:pStyle w:val="3"/>
        <w:pageBreakBefore w:val="0"/>
        <w:kinsoku/>
        <w:topLinePunct w:val="0"/>
        <w:bidi w:val="0"/>
        <w:spacing w:line="360" w:lineRule="auto"/>
        <w:ind w:left="0"/>
        <w:jc w:val="center"/>
        <w:rPr>
          <w:color w:val="000000"/>
          <w:sz w:val="36"/>
          <w:highlight w:val="none"/>
        </w:rPr>
      </w:pPr>
      <w:r>
        <w:rPr>
          <w:rFonts w:hint="eastAsia"/>
          <w:color w:val="000000"/>
          <w:sz w:val="24"/>
          <w:highlight w:val="none"/>
        </w:rPr>
        <w:br w:type="page"/>
      </w:r>
      <w:bookmarkStart w:id="222" w:name="_Toc12351"/>
      <w:r>
        <w:rPr>
          <w:rFonts w:hint="eastAsia"/>
          <w:color w:val="000000"/>
          <w:highlight w:val="none"/>
          <w:lang w:val="en-US"/>
        </w:rPr>
        <w:t>7</w:t>
      </w:r>
      <w:r>
        <w:rPr>
          <w:color w:val="000000"/>
          <w:highlight w:val="none"/>
        </w:rPr>
        <w:t>、已标价工程量清单</w:t>
      </w:r>
      <w:bookmarkEnd w:id="222"/>
    </w:p>
    <w:p>
      <w:pPr>
        <w:pStyle w:val="3"/>
        <w:pageBreakBefore w:val="0"/>
        <w:kinsoku/>
        <w:topLinePunct w:val="0"/>
        <w:bidi w:val="0"/>
        <w:spacing w:before="57" w:line="360" w:lineRule="auto"/>
        <w:ind w:left="0"/>
        <w:jc w:val="center"/>
        <w:rPr>
          <w:color w:val="000000"/>
          <w:highlight w:val="none"/>
        </w:rPr>
      </w:pPr>
      <w:r>
        <w:rPr>
          <w:rFonts w:hint="eastAsia" w:eastAsia="宋体"/>
          <w:color w:val="000000"/>
          <w:highlight w:val="none"/>
        </w:rPr>
        <w:br w:type="page"/>
      </w:r>
      <w:bookmarkStart w:id="223" w:name="_Toc13891"/>
      <w:r>
        <w:rPr>
          <w:rFonts w:hint="eastAsia" w:eastAsia="宋体"/>
          <w:color w:val="000000"/>
          <w:highlight w:val="none"/>
          <w:lang w:val="en-US"/>
        </w:rPr>
        <w:t>8</w:t>
      </w:r>
      <w:r>
        <w:rPr>
          <w:color w:val="000000"/>
          <w:highlight w:val="none"/>
        </w:rPr>
        <w:t>、项目管理机构</w:t>
      </w:r>
      <w:bookmarkEnd w:id="223"/>
    </w:p>
    <w:p>
      <w:pPr>
        <w:pageBreakBefore w:val="0"/>
        <w:numPr>
          <w:ilvl w:val="0"/>
          <w:numId w:val="0"/>
        </w:numPr>
        <w:kinsoku/>
        <w:topLinePunct w:val="0"/>
        <w:bidi w:val="0"/>
        <w:snapToGrid w:val="0"/>
        <w:spacing w:line="360" w:lineRule="auto"/>
        <w:rPr>
          <w:color w:val="000000"/>
          <w:sz w:val="24"/>
          <w:highlight w:val="none"/>
        </w:rPr>
      </w:pPr>
      <w:r>
        <w:rPr>
          <w:rFonts w:hint="eastAsia"/>
          <w:color w:val="000000"/>
          <w:sz w:val="24"/>
          <w:highlight w:val="none"/>
          <w:lang w:eastAsia="zh-CN"/>
        </w:rPr>
        <w:t>（</w:t>
      </w:r>
      <w:r>
        <w:rPr>
          <w:rFonts w:hint="eastAsia"/>
          <w:color w:val="000000"/>
          <w:sz w:val="24"/>
          <w:highlight w:val="none"/>
          <w:lang w:val="en-US" w:eastAsia="zh-CN"/>
        </w:rPr>
        <w:t>一）</w:t>
      </w:r>
      <w:r>
        <w:rPr>
          <w:color w:val="000000"/>
          <w:sz w:val="24"/>
          <w:highlight w:val="none"/>
        </w:rPr>
        <w:t>项目管理机构组成表</w:t>
      </w:r>
    </w:p>
    <w:tbl>
      <w:tblPr>
        <w:tblStyle w:val="18"/>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0"/>
        <w:gridCol w:w="715"/>
        <w:gridCol w:w="710"/>
        <w:gridCol w:w="1137"/>
        <w:gridCol w:w="767"/>
        <w:gridCol w:w="791"/>
        <w:gridCol w:w="849"/>
        <w:gridCol w:w="2131"/>
        <w:gridCol w:w="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710" w:type="dxa"/>
            <w:vMerge w:val="restart"/>
          </w:tcPr>
          <w:p>
            <w:pPr>
              <w:pStyle w:val="40"/>
              <w:pageBreakBefore w:val="0"/>
              <w:kinsoku/>
              <w:topLinePunct w:val="0"/>
              <w:bidi w:val="0"/>
              <w:spacing w:before="8" w:line="360" w:lineRule="auto"/>
              <w:rPr>
                <w:color w:val="000000"/>
                <w:sz w:val="26"/>
                <w:highlight w:val="none"/>
              </w:rPr>
            </w:pPr>
          </w:p>
          <w:p>
            <w:pPr>
              <w:pStyle w:val="40"/>
              <w:pageBreakBefore w:val="0"/>
              <w:kinsoku/>
              <w:topLinePunct w:val="0"/>
              <w:bidi w:val="0"/>
              <w:spacing w:line="360" w:lineRule="auto"/>
              <w:ind w:left="148"/>
              <w:rPr>
                <w:color w:val="000000"/>
                <w:highlight w:val="none"/>
              </w:rPr>
            </w:pPr>
            <w:r>
              <w:rPr>
                <w:color w:val="000000"/>
                <w:highlight w:val="none"/>
              </w:rPr>
              <w:t>职务</w:t>
            </w:r>
          </w:p>
        </w:tc>
        <w:tc>
          <w:tcPr>
            <w:tcW w:w="715" w:type="dxa"/>
            <w:vMerge w:val="restart"/>
          </w:tcPr>
          <w:p>
            <w:pPr>
              <w:pStyle w:val="40"/>
              <w:pageBreakBefore w:val="0"/>
              <w:kinsoku/>
              <w:topLinePunct w:val="0"/>
              <w:bidi w:val="0"/>
              <w:spacing w:before="8" w:line="360" w:lineRule="auto"/>
              <w:rPr>
                <w:color w:val="000000"/>
                <w:sz w:val="26"/>
                <w:highlight w:val="none"/>
              </w:rPr>
            </w:pPr>
          </w:p>
          <w:p>
            <w:pPr>
              <w:pStyle w:val="40"/>
              <w:pageBreakBefore w:val="0"/>
              <w:kinsoku/>
              <w:topLinePunct w:val="0"/>
              <w:bidi w:val="0"/>
              <w:spacing w:line="360" w:lineRule="auto"/>
              <w:ind w:left="148"/>
              <w:rPr>
                <w:color w:val="000000"/>
                <w:highlight w:val="none"/>
              </w:rPr>
            </w:pPr>
            <w:r>
              <w:rPr>
                <w:color w:val="000000"/>
                <w:highlight w:val="none"/>
              </w:rPr>
              <w:t>姓名</w:t>
            </w:r>
          </w:p>
        </w:tc>
        <w:tc>
          <w:tcPr>
            <w:tcW w:w="710" w:type="dxa"/>
            <w:vMerge w:val="restart"/>
          </w:tcPr>
          <w:p>
            <w:pPr>
              <w:pStyle w:val="40"/>
              <w:pageBreakBefore w:val="0"/>
              <w:kinsoku/>
              <w:topLinePunct w:val="0"/>
              <w:bidi w:val="0"/>
              <w:spacing w:before="8" w:line="360" w:lineRule="auto"/>
              <w:rPr>
                <w:color w:val="000000"/>
                <w:sz w:val="26"/>
                <w:highlight w:val="none"/>
              </w:rPr>
            </w:pPr>
          </w:p>
          <w:p>
            <w:pPr>
              <w:pStyle w:val="40"/>
              <w:pageBreakBefore w:val="0"/>
              <w:kinsoku/>
              <w:topLinePunct w:val="0"/>
              <w:bidi w:val="0"/>
              <w:spacing w:line="360" w:lineRule="auto"/>
              <w:ind w:left="144"/>
              <w:rPr>
                <w:color w:val="000000"/>
                <w:highlight w:val="none"/>
              </w:rPr>
            </w:pPr>
            <w:r>
              <w:rPr>
                <w:color w:val="000000"/>
                <w:highlight w:val="none"/>
              </w:rPr>
              <w:t>职称</w:t>
            </w:r>
          </w:p>
        </w:tc>
        <w:tc>
          <w:tcPr>
            <w:tcW w:w="5675" w:type="dxa"/>
            <w:gridSpan w:val="5"/>
          </w:tcPr>
          <w:p>
            <w:pPr>
              <w:pStyle w:val="40"/>
              <w:pageBreakBefore w:val="0"/>
              <w:kinsoku/>
              <w:topLinePunct w:val="0"/>
              <w:bidi w:val="0"/>
              <w:spacing w:before="101" w:line="360" w:lineRule="auto"/>
              <w:ind w:left="1892"/>
              <w:rPr>
                <w:color w:val="000000"/>
                <w:highlight w:val="none"/>
              </w:rPr>
            </w:pPr>
            <w:r>
              <w:rPr>
                <w:color w:val="000000"/>
                <w:highlight w:val="none"/>
              </w:rPr>
              <w:t>执业或职业资格证明</w:t>
            </w:r>
          </w:p>
        </w:tc>
        <w:tc>
          <w:tcPr>
            <w:tcW w:w="710" w:type="dxa"/>
            <w:vMerge w:val="restart"/>
          </w:tcPr>
          <w:p>
            <w:pPr>
              <w:pStyle w:val="40"/>
              <w:pageBreakBefore w:val="0"/>
              <w:kinsoku/>
              <w:topLinePunct w:val="0"/>
              <w:bidi w:val="0"/>
              <w:spacing w:before="8" w:line="360" w:lineRule="auto"/>
              <w:rPr>
                <w:color w:val="000000"/>
                <w:sz w:val="26"/>
                <w:highlight w:val="none"/>
              </w:rPr>
            </w:pPr>
          </w:p>
          <w:p>
            <w:pPr>
              <w:pStyle w:val="40"/>
              <w:pageBreakBefore w:val="0"/>
              <w:kinsoku/>
              <w:topLinePunct w:val="0"/>
              <w:bidi w:val="0"/>
              <w:spacing w:line="360" w:lineRule="auto"/>
              <w:ind w:left="152"/>
              <w:rPr>
                <w:color w:val="000000"/>
                <w:highlight w:val="none"/>
              </w:rPr>
            </w:pPr>
            <w:r>
              <w:rPr>
                <w:color w:val="000000"/>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710" w:type="dxa"/>
            <w:vMerge w:val="continue"/>
            <w:tcBorders>
              <w:top w:val="nil"/>
            </w:tcBorders>
          </w:tcPr>
          <w:p>
            <w:pPr>
              <w:pageBreakBefore w:val="0"/>
              <w:kinsoku/>
              <w:topLinePunct w:val="0"/>
              <w:bidi w:val="0"/>
              <w:spacing w:line="360" w:lineRule="auto"/>
              <w:rPr>
                <w:color w:val="000000"/>
                <w:sz w:val="2"/>
                <w:szCs w:val="2"/>
                <w:highlight w:val="none"/>
              </w:rPr>
            </w:pPr>
          </w:p>
        </w:tc>
        <w:tc>
          <w:tcPr>
            <w:tcW w:w="715" w:type="dxa"/>
            <w:vMerge w:val="continue"/>
            <w:tcBorders>
              <w:top w:val="nil"/>
            </w:tcBorders>
          </w:tcPr>
          <w:p>
            <w:pPr>
              <w:pageBreakBefore w:val="0"/>
              <w:kinsoku/>
              <w:topLinePunct w:val="0"/>
              <w:bidi w:val="0"/>
              <w:spacing w:line="360" w:lineRule="auto"/>
              <w:rPr>
                <w:color w:val="000000"/>
                <w:sz w:val="2"/>
                <w:szCs w:val="2"/>
                <w:highlight w:val="none"/>
              </w:rPr>
            </w:pPr>
          </w:p>
        </w:tc>
        <w:tc>
          <w:tcPr>
            <w:tcW w:w="710" w:type="dxa"/>
            <w:vMerge w:val="continue"/>
            <w:tcBorders>
              <w:top w:val="nil"/>
            </w:tcBorders>
          </w:tcPr>
          <w:p>
            <w:pPr>
              <w:pageBreakBefore w:val="0"/>
              <w:kinsoku/>
              <w:topLinePunct w:val="0"/>
              <w:bidi w:val="0"/>
              <w:spacing w:line="360" w:lineRule="auto"/>
              <w:rPr>
                <w:color w:val="000000"/>
                <w:sz w:val="2"/>
                <w:szCs w:val="2"/>
                <w:highlight w:val="none"/>
              </w:rPr>
            </w:pPr>
          </w:p>
        </w:tc>
        <w:tc>
          <w:tcPr>
            <w:tcW w:w="1137" w:type="dxa"/>
          </w:tcPr>
          <w:p>
            <w:pPr>
              <w:pStyle w:val="40"/>
              <w:pageBreakBefore w:val="0"/>
              <w:kinsoku/>
              <w:topLinePunct w:val="0"/>
              <w:bidi w:val="0"/>
              <w:spacing w:before="101" w:line="360" w:lineRule="auto"/>
              <w:ind w:left="144"/>
              <w:rPr>
                <w:color w:val="000000"/>
                <w:highlight w:val="none"/>
              </w:rPr>
            </w:pPr>
            <w:r>
              <w:rPr>
                <w:color w:val="000000"/>
                <w:highlight w:val="none"/>
              </w:rPr>
              <w:t>证书名称</w:t>
            </w:r>
          </w:p>
        </w:tc>
        <w:tc>
          <w:tcPr>
            <w:tcW w:w="767" w:type="dxa"/>
          </w:tcPr>
          <w:p>
            <w:pPr>
              <w:pStyle w:val="40"/>
              <w:pageBreakBefore w:val="0"/>
              <w:kinsoku/>
              <w:topLinePunct w:val="0"/>
              <w:bidi w:val="0"/>
              <w:spacing w:before="101" w:line="360" w:lineRule="auto"/>
              <w:ind w:left="174"/>
              <w:rPr>
                <w:color w:val="000000"/>
                <w:highlight w:val="none"/>
              </w:rPr>
            </w:pPr>
            <w:r>
              <w:rPr>
                <w:color w:val="000000"/>
                <w:highlight w:val="none"/>
              </w:rPr>
              <w:t>级别</w:t>
            </w:r>
          </w:p>
        </w:tc>
        <w:tc>
          <w:tcPr>
            <w:tcW w:w="791" w:type="dxa"/>
          </w:tcPr>
          <w:p>
            <w:pPr>
              <w:pStyle w:val="40"/>
              <w:pageBreakBefore w:val="0"/>
              <w:kinsoku/>
              <w:topLinePunct w:val="0"/>
              <w:bidi w:val="0"/>
              <w:spacing w:before="101" w:line="360" w:lineRule="auto"/>
              <w:ind w:left="189"/>
              <w:rPr>
                <w:color w:val="000000"/>
                <w:highlight w:val="none"/>
              </w:rPr>
            </w:pPr>
            <w:r>
              <w:rPr>
                <w:color w:val="000000"/>
                <w:highlight w:val="none"/>
              </w:rPr>
              <w:t>证号</w:t>
            </w:r>
          </w:p>
        </w:tc>
        <w:tc>
          <w:tcPr>
            <w:tcW w:w="849" w:type="dxa"/>
          </w:tcPr>
          <w:p>
            <w:pPr>
              <w:pStyle w:val="40"/>
              <w:pageBreakBefore w:val="0"/>
              <w:kinsoku/>
              <w:topLinePunct w:val="0"/>
              <w:bidi w:val="0"/>
              <w:spacing w:before="101" w:line="360" w:lineRule="auto"/>
              <w:ind w:left="219"/>
              <w:rPr>
                <w:color w:val="000000"/>
                <w:highlight w:val="none"/>
              </w:rPr>
            </w:pPr>
            <w:r>
              <w:rPr>
                <w:color w:val="000000"/>
                <w:highlight w:val="none"/>
              </w:rPr>
              <w:t>专业</w:t>
            </w:r>
          </w:p>
        </w:tc>
        <w:tc>
          <w:tcPr>
            <w:tcW w:w="2131" w:type="dxa"/>
          </w:tcPr>
          <w:p>
            <w:pPr>
              <w:pStyle w:val="40"/>
              <w:pageBreakBefore w:val="0"/>
              <w:kinsoku/>
              <w:topLinePunct w:val="0"/>
              <w:bidi w:val="0"/>
              <w:spacing w:before="101" w:line="360" w:lineRule="auto"/>
              <w:ind w:left="651"/>
              <w:rPr>
                <w:color w:val="000000"/>
                <w:highlight w:val="none"/>
              </w:rPr>
            </w:pPr>
            <w:r>
              <w:rPr>
                <w:color w:val="000000"/>
                <w:highlight w:val="none"/>
              </w:rPr>
              <w:t>养老保险</w:t>
            </w:r>
          </w:p>
        </w:tc>
        <w:tc>
          <w:tcPr>
            <w:tcW w:w="710" w:type="dxa"/>
            <w:vMerge w:val="continue"/>
            <w:tcBorders>
              <w:top w:val="nil"/>
            </w:tcBorders>
          </w:tcPr>
          <w:p>
            <w:pPr>
              <w:pageBreakBefore w:val="0"/>
              <w:kinsoku/>
              <w:topLinePunct w:val="0"/>
              <w:bidi w:val="0"/>
              <w:spacing w:line="360" w:lineRule="auto"/>
              <w:rPr>
                <w:color w:val="000000"/>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710" w:type="dxa"/>
          </w:tcPr>
          <w:p>
            <w:pPr>
              <w:pStyle w:val="40"/>
              <w:pageBreakBefore w:val="0"/>
              <w:kinsoku/>
              <w:topLinePunct w:val="0"/>
              <w:bidi w:val="0"/>
              <w:spacing w:line="360" w:lineRule="auto"/>
              <w:rPr>
                <w:rFonts w:ascii="Times New Roman"/>
                <w:color w:val="000000"/>
                <w:sz w:val="26"/>
                <w:highlight w:val="none"/>
              </w:rPr>
            </w:pPr>
          </w:p>
        </w:tc>
        <w:tc>
          <w:tcPr>
            <w:tcW w:w="715" w:type="dxa"/>
          </w:tcPr>
          <w:p>
            <w:pPr>
              <w:pStyle w:val="40"/>
              <w:pageBreakBefore w:val="0"/>
              <w:kinsoku/>
              <w:topLinePunct w:val="0"/>
              <w:bidi w:val="0"/>
              <w:spacing w:line="360" w:lineRule="auto"/>
              <w:rPr>
                <w:rFonts w:ascii="Times New Roman"/>
                <w:color w:val="000000"/>
                <w:sz w:val="26"/>
                <w:highlight w:val="none"/>
              </w:rPr>
            </w:pPr>
          </w:p>
        </w:tc>
        <w:tc>
          <w:tcPr>
            <w:tcW w:w="710" w:type="dxa"/>
          </w:tcPr>
          <w:p>
            <w:pPr>
              <w:pStyle w:val="40"/>
              <w:pageBreakBefore w:val="0"/>
              <w:kinsoku/>
              <w:topLinePunct w:val="0"/>
              <w:bidi w:val="0"/>
              <w:spacing w:line="360" w:lineRule="auto"/>
              <w:rPr>
                <w:rFonts w:ascii="Times New Roman"/>
                <w:color w:val="000000"/>
                <w:sz w:val="26"/>
                <w:highlight w:val="none"/>
              </w:rPr>
            </w:pPr>
          </w:p>
        </w:tc>
        <w:tc>
          <w:tcPr>
            <w:tcW w:w="1137" w:type="dxa"/>
          </w:tcPr>
          <w:p>
            <w:pPr>
              <w:pStyle w:val="40"/>
              <w:pageBreakBefore w:val="0"/>
              <w:kinsoku/>
              <w:topLinePunct w:val="0"/>
              <w:bidi w:val="0"/>
              <w:spacing w:line="360" w:lineRule="auto"/>
              <w:rPr>
                <w:rFonts w:ascii="Times New Roman"/>
                <w:color w:val="000000"/>
                <w:sz w:val="26"/>
                <w:highlight w:val="none"/>
              </w:rPr>
            </w:pPr>
          </w:p>
        </w:tc>
        <w:tc>
          <w:tcPr>
            <w:tcW w:w="767" w:type="dxa"/>
          </w:tcPr>
          <w:p>
            <w:pPr>
              <w:pStyle w:val="40"/>
              <w:pageBreakBefore w:val="0"/>
              <w:kinsoku/>
              <w:topLinePunct w:val="0"/>
              <w:bidi w:val="0"/>
              <w:spacing w:line="360" w:lineRule="auto"/>
              <w:rPr>
                <w:rFonts w:ascii="Times New Roman"/>
                <w:color w:val="000000"/>
                <w:sz w:val="26"/>
                <w:highlight w:val="none"/>
              </w:rPr>
            </w:pPr>
          </w:p>
        </w:tc>
        <w:tc>
          <w:tcPr>
            <w:tcW w:w="791" w:type="dxa"/>
          </w:tcPr>
          <w:p>
            <w:pPr>
              <w:pStyle w:val="40"/>
              <w:pageBreakBefore w:val="0"/>
              <w:kinsoku/>
              <w:topLinePunct w:val="0"/>
              <w:bidi w:val="0"/>
              <w:spacing w:line="360" w:lineRule="auto"/>
              <w:rPr>
                <w:rFonts w:ascii="Times New Roman"/>
                <w:color w:val="000000"/>
                <w:sz w:val="26"/>
                <w:highlight w:val="none"/>
              </w:rPr>
            </w:pPr>
          </w:p>
        </w:tc>
        <w:tc>
          <w:tcPr>
            <w:tcW w:w="849" w:type="dxa"/>
          </w:tcPr>
          <w:p>
            <w:pPr>
              <w:pStyle w:val="40"/>
              <w:pageBreakBefore w:val="0"/>
              <w:kinsoku/>
              <w:topLinePunct w:val="0"/>
              <w:bidi w:val="0"/>
              <w:spacing w:line="360" w:lineRule="auto"/>
              <w:rPr>
                <w:rFonts w:ascii="Times New Roman"/>
                <w:color w:val="000000"/>
                <w:sz w:val="26"/>
                <w:highlight w:val="none"/>
              </w:rPr>
            </w:pPr>
          </w:p>
        </w:tc>
        <w:tc>
          <w:tcPr>
            <w:tcW w:w="2131" w:type="dxa"/>
          </w:tcPr>
          <w:p>
            <w:pPr>
              <w:pStyle w:val="40"/>
              <w:pageBreakBefore w:val="0"/>
              <w:kinsoku/>
              <w:topLinePunct w:val="0"/>
              <w:bidi w:val="0"/>
              <w:spacing w:line="360" w:lineRule="auto"/>
              <w:rPr>
                <w:rFonts w:ascii="Times New Roman"/>
                <w:color w:val="000000"/>
                <w:sz w:val="26"/>
                <w:highlight w:val="none"/>
              </w:rPr>
            </w:pPr>
          </w:p>
        </w:tc>
        <w:tc>
          <w:tcPr>
            <w:tcW w:w="710" w:type="dxa"/>
          </w:tcPr>
          <w:p>
            <w:pPr>
              <w:pStyle w:val="40"/>
              <w:pageBreakBefore w:val="0"/>
              <w:kinsoku/>
              <w:topLinePunct w:val="0"/>
              <w:bidi w:val="0"/>
              <w:spacing w:line="360" w:lineRule="auto"/>
              <w:rPr>
                <w:rFonts w:ascii="Times New Roman"/>
                <w:color w:val="000000"/>
                <w:sz w:val="2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710" w:type="dxa"/>
          </w:tcPr>
          <w:p>
            <w:pPr>
              <w:pStyle w:val="40"/>
              <w:pageBreakBefore w:val="0"/>
              <w:kinsoku/>
              <w:topLinePunct w:val="0"/>
              <w:bidi w:val="0"/>
              <w:spacing w:line="360" w:lineRule="auto"/>
              <w:rPr>
                <w:rFonts w:ascii="Times New Roman"/>
                <w:color w:val="000000"/>
                <w:sz w:val="26"/>
                <w:highlight w:val="none"/>
              </w:rPr>
            </w:pPr>
          </w:p>
        </w:tc>
        <w:tc>
          <w:tcPr>
            <w:tcW w:w="715" w:type="dxa"/>
          </w:tcPr>
          <w:p>
            <w:pPr>
              <w:pStyle w:val="40"/>
              <w:pageBreakBefore w:val="0"/>
              <w:kinsoku/>
              <w:topLinePunct w:val="0"/>
              <w:bidi w:val="0"/>
              <w:spacing w:line="360" w:lineRule="auto"/>
              <w:rPr>
                <w:rFonts w:ascii="Times New Roman"/>
                <w:color w:val="000000"/>
                <w:sz w:val="26"/>
                <w:highlight w:val="none"/>
              </w:rPr>
            </w:pPr>
          </w:p>
        </w:tc>
        <w:tc>
          <w:tcPr>
            <w:tcW w:w="710" w:type="dxa"/>
          </w:tcPr>
          <w:p>
            <w:pPr>
              <w:pStyle w:val="40"/>
              <w:pageBreakBefore w:val="0"/>
              <w:kinsoku/>
              <w:topLinePunct w:val="0"/>
              <w:bidi w:val="0"/>
              <w:spacing w:line="360" w:lineRule="auto"/>
              <w:rPr>
                <w:rFonts w:ascii="Times New Roman"/>
                <w:color w:val="000000"/>
                <w:sz w:val="26"/>
                <w:highlight w:val="none"/>
              </w:rPr>
            </w:pPr>
          </w:p>
        </w:tc>
        <w:tc>
          <w:tcPr>
            <w:tcW w:w="1137" w:type="dxa"/>
          </w:tcPr>
          <w:p>
            <w:pPr>
              <w:pStyle w:val="40"/>
              <w:pageBreakBefore w:val="0"/>
              <w:kinsoku/>
              <w:topLinePunct w:val="0"/>
              <w:bidi w:val="0"/>
              <w:spacing w:line="360" w:lineRule="auto"/>
              <w:rPr>
                <w:rFonts w:ascii="Times New Roman"/>
                <w:color w:val="000000"/>
                <w:sz w:val="26"/>
                <w:highlight w:val="none"/>
              </w:rPr>
            </w:pPr>
          </w:p>
        </w:tc>
        <w:tc>
          <w:tcPr>
            <w:tcW w:w="767" w:type="dxa"/>
          </w:tcPr>
          <w:p>
            <w:pPr>
              <w:pStyle w:val="40"/>
              <w:pageBreakBefore w:val="0"/>
              <w:kinsoku/>
              <w:topLinePunct w:val="0"/>
              <w:bidi w:val="0"/>
              <w:spacing w:line="360" w:lineRule="auto"/>
              <w:rPr>
                <w:rFonts w:ascii="Times New Roman"/>
                <w:color w:val="000000"/>
                <w:sz w:val="26"/>
                <w:highlight w:val="none"/>
              </w:rPr>
            </w:pPr>
          </w:p>
        </w:tc>
        <w:tc>
          <w:tcPr>
            <w:tcW w:w="791" w:type="dxa"/>
          </w:tcPr>
          <w:p>
            <w:pPr>
              <w:pStyle w:val="40"/>
              <w:pageBreakBefore w:val="0"/>
              <w:kinsoku/>
              <w:topLinePunct w:val="0"/>
              <w:bidi w:val="0"/>
              <w:spacing w:line="360" w:lineRule="auto"/>
              <w:rPr>
                <w:rFonts w:ascii="Times New Roman"/>
                <w:color w:val="000000"/>
                <w:sz w:val="26"/>
                <w:highlight w:val="none"/>
              </w:rPr>
            </w:pPr>
          </w:p>
        </w:tc>
        <w:tc>
          <w:tcPr>
            <w:tcW w:w="849" w:type="dxa"/>
          </w:tcPr>
          <w:p>
            <w:pPr>
              <w:pStyle w:val="40"/>
              <w:pageBreakBefore w:val="0"/>
              <w:kinsoku/>
              <w:topLinePunct w:val="0"/>
              <w:bidi w:val="0"/>
              <w:spacing w:line="360" w:lineRule="auto"/>
              <w:rPr>
                <w:rFonts w:ascii="Times New Roman"/>
                <w:color w:val="000000"/>
                <w:sz w:val="26"/>
                <w:highlight w:val="none"/>
              </w:rPr>
            </w:pPr>
          </w:p>
        </w:tc>
        <w:tc>
          <w:tcPr>
            <w:tcW w:w="2131" w:type="dxa"/>
          </w:tcPr>
          <w:p>
            <w:pPr>
              <w:pStyle w:val="40"/>
              <w:pageBreakBefore w:val="0"/>
              <w:kinsoku/>
              <w:topLinePunct w:val="0"/>
              <w:bidi w:val="0"/>
              <w:spacing w:line="360" w:lineRule="auto"/>
              <w:rPr>
                <w:rFonts w:ascii="Times New Roman"/>
                <w:color w:val="000000"/>
                <w:sz w:val="26"/>
                <w:highlight w:val="none"/>
              </w:rPr>
            </w:pPr>
          </w:p>
        </w:tc>
        <w:tc>
          <w:tcPr>
            <w:tcW w:w="710" w:type="dxa"/>
          </w:tcPr>
          <w:p>
            <w:pPr>
              <w:pStyle w:val="40"/>
              <w:pageBreakBefore w:val="0"/>
              <w:kinsoku/>
              <w:topLinePunct w:val="0"/>
              <w:bidi w:val="0"/>
              <w:spacing w:line="360" w:lineRule="auto"/>
              <w:rPr>
                <w:rFonts w:ascii="Times New Roman"/>
                <w:color w:val="000000"/>
                <w:sz w:val="2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710" w:type="dxa"/>
          </w:tcPr>
          <w:p>
            <w:pPr>
              <w:pStyle w:val="40"/>
              <w:pageBreakBefore w:val="0"/>
              <w:kinsoku/>
              <w:topLinePunct w:val="0"/>
              <w:bidi w:val="0"/>
              <w:spacing w:line="360" w:lineRule="auto"/>
              <w:rPr>
                <w:rFonts w:ascii="Times New Roman"/>
                <w:color w:val="000000"/>
                <w:sz w:val="26"/>
                <w:highlight w:val="none"/>
              </w:rPr>
            </w:pPr>
          </w:p>
        </w:tc>
        <w:tc>
          <w:tcPr>
            <w:tcW w:w="715" w:type="dxa"/>
          </w:tcPr>
          <w:p>
            <w:pPr>
              <w:pStyle w:val="40"/>
              <w:pageBreakBefore w:val="0"/>
              <w:kinsoku/>
              <w:topLinePunct w:val="0"/>
              <w:bidi w:val="0"/>
              <w:spacing w:line="360" w:lineRule="auto"/>
              <w:rPr>
                <w:rFonts w:ascii="Times New Roman"/>
                <w:color w:val="000000"/>
                <w:sz w:val="26"/>
                <w:highlight w:val="none"/>
              </w:rPr>
            </w:pPr>
          </w:p>
        </w:tc>
        <w:tc>
          <w:tcPr>
            <w:tcW w:w="710" w:type="dxa"/>
          </w:tcPr>
          <w:p>
            <w:pPr>
              <w:pStyle w:val="40"/>
              <w:pageBreakBefore w:val="0"/>
              <w:kinsoku/>
              <w:topLinePunct w:val="0"/>
              <w:bidi w:val="0"/>
              <w:spacing w:line="360" w:lineRule="auto"/>
              <w:rPr>
                <w:rFonts w:ascii="Times New Roman"/>
                <w:color w:val="000000"/>
                <w:sz w:val="26"/>
                <w:highlight w:val="none"/>
              </w:rPr>
            </w:pPr>
          </w:p>
        </w:tc>
        <w:tc>
          <w:tcPr>
            <w:tcW w:w="1137" w:type="dxa"/>
          </w:tcPr>
          <w:p>
            <w:pPr>
              <w:pStyle w:val="40"/>
              <w:pageBreakBefore w:val="0"/>
              <w:kinsoku/>
              <w:topLinePunct w:val="0"/>
              <w:bidi w:val="0"/>
              <w:spacing w:line="360" w:lineRule="auto"/>
              <w:rPr>
                <w:rFonts w:ascii="Times New Roman"/>
                <w:color w:val="000000"/>
                <w:sz w:val="26"/>
                <w:highlight w:val="none"/>
              </w:rPr>
            </w:pPr>
          </w:p>
        </w:tc>
        <w:tc>
          <w:tcPr>
            <w:tcW w:w="767" w:type="dxa"/>
          </w:tcPr>
          <w:p>
            <w:pPr>
              <w:pStyle w:val="40"/>
              <w:pageBreakBefore w:val="0"/>
              <w:kinsoku/>
              <w:topLinePunct w:val="0"/>
              <w:bidi w:val="0"/>
              <w:spacing w:line="360" w:lineRule="auto"/>
              <w:rPr>
                <w:rFonts w:ascii="Times New Roman"/>
                <w:color w:val="000000"/>
                <w:sz w:val="26"/>
                <w:highlight w:val="none"/>
              </w:rPr>
            </w:pPr>
          </w:p>
        </w:tc>
        <w:tc>
          <w:tcPr>
            <w:tcW w:w="791" w:type="dxa"/>
          </w:tcPr>
          <w:p>
            <w:pPr>
              <w:pStyle w:val="40"/>
              <w:pageBreakBefore w:val="0"/>
              <w:kinsoku/>
              <w:topLinePunct w:val="0"/>
              <w:bidi w:val="0"/>
              <w:spacing w:line="360" w:lineRule="auto"/>
              <w:rPr>
                <w:rFonts w:ascii="Times New Roman"/>
                <w:color w:val="000000"/>
                <w:sz w:val="26"/>
                <w:highlight w:val="none"/>
              </w:rPr>
            </w:pPr>
          </w:p>
        </w:tc>
        <w:tc>
          <w:tcPr>
            <w:tcW w:w="849" w:type="dxa"/>
          </w:tcPr>
          <w:p>
            <w:pPr>
              <w:pStyle w:val="40"/>
              <w:pageBreakBefore w:val="0"/>
              <w:kinsoku/>
              <w:topLinePunct w:val="0"/>
              <w:bidi w:val="0"/>
              <w:spacing w:line="360" w:lineRule="auto"/>
              <w:rPr>
                <w:rFonts w:ascii="Times New Roman"/>
                <w:color w:val="000000"/>
                <w:sz w:val="26"/>
                <w:highlight w:val="none"/>
              </w:rPr>
            </w:pPr>
          </w:p>
        </w:tc>
        <w:tc>
          <w:tcPr>
            <w:tcW w:w="2131" w:type="dxa"/>
          </w:tcPr>
          <w:p>
            <w:pPr>
              <w:pStyle w:val="40"/>
              <w:pageBreakBefore w:val="0"/>
              <w:kinsoku/>
              <w:topLinePunct w:val="0"/>
              <w:bidi w:val="0"/>
              <w:spacing w:line="360" w:lineRule="auto"/>
              <w:rPr>
                <w:rFonts w:ascii="Times New Roman"/>
                <w:color w:val="000000"/>
                <w:sz w:val="26"/>
                <w:highlight w:val="none"/>
              </w:rPr>
            </w:pPr>
          </w:p>
        </w:tc>
        <w:tc>
          <w:tcPr>
            <w:tcW w:w="710" w:type="dxa"/>
          </w:tcPr>
          <w:p>
            <w:pPr>
              <w:pStyle w:val="40"/>
              <w:pageBreakBefore w:val="0"/>
              <w:kinsoku/>
              <w:topLinePunct w:val="0"/>
              <w:bidi w:val="0"/>
              <w:spacing w:line="360" w:lineRule="auto"/>
              <w:rPr>
                <w:rFonts w:ascii="Times New Roman"/>
                <w:color w:val="000000"/>
                <w:sz w:val="2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710" w:type="dxa"/>
          </w:tcPr>
          <w:p>
            <w:pPr>
              <w:pStyle w:val="40"/>
              <w:pageBreakBefore w:val="0"/>
              <w:kinsoku/>
              <w:topLinePunct w:val="0"/>
              <w:bidi w:val="0"/>
              <w:spacing w:line="360" w:lineRule="auto"/>
              <w:rPr>
                <w:rFonts w:ascii="Times New Roman"/>
                <w:color w:val="000000"/>
                <w:sz w:val="26"/>
                <w:highlight w:val="none"/>
              </w:rPr>
            </w:pPr>
          </w:p>
        </w:tc>
        <w:tc>
          <w:tcPr>
            <w:tcW w:w="715" w:type="dxa"/>
          </w:tcPr>
          <w:p>
            <w:pPr>
              <w:pStyle w:val="40"/>
              <w:pageBreakBefore w:val="0"/>
              <w:kinsoku/>
              <w:topLinePunct w:val="0"/>
              <w:bidi w:val="0"/>
              <w:spacing w:line="360" w:lineRule="auto"/>
              <w:rPr>
                <w:rFonts w:ascii="Times New Roman"/>
                <w:color w:val="000000"/>
                <w:sz w:val="26"/>
                <w:highlight w:val="none"/>
              </w:rPr>
            </w:pPr>
          </w:p>
        </w:tc>
        <w:tc>
          <w:tcPr>
            <w:tcW w:w="710" w:type="dxa"/>
          </w:tcPr>
          <w:p>
            <w:pPr>
              <w:pStyle w:val="40"/>
              <w:pageBreakBefore w:val="0"/>
              <w:kinsoku/>
              <w:topLinePunct w:val="0"/>
              <w:bidi w:val="0"/>
              <w:spacing w:line="360" w:lineRule="auto"/>
              <w:rPr>
                <w:rFonts w:ascii="Times New Roman"/>
                <w:color w:val="000000"/>
                <w:sz w:val="26"/>
                <w:highlight w:val="none"/>
              </w:rPr>
            </w:pPr>
          </w:p>
        </w:tc>
        <w:tc>
          <w:tcPr>
            <w:tcW w:w="1137" w:type="dxa"/>
          </w:tcPr>
          <w:p>
            <w:pPr>
              <w:pStyle w:val="40"/>
              <w:pageBreakBefore w:val="0"/>
              <w:kinsoku/>
              <w:topLinePunct w:val="0"/>
              <w:bidi w:val="0"/>
              <w:spacing w:line="360" w:lineRule="auto"/>
              <w:rPr>
                <w:rFonts w:ascii="Times New Roman"/>
                <w:color w:val="000000"/>
                <w:sz w:val="26"/>
                <w:highlight w:val="none"/>
              </w:rPr>
            </w:pPr>
          </w:p>
        </w:tc>
        <w:tc>
          <w:tcPr>
            <w:tcW w:w="767" w:type="dxa"/>
          </w:tcPr>
          <w:p>
            <w:pPr>
              <w:pStyle w:val="40"/>
              <w:pageBreakBefore w:val="0"/>
              <w:kinsoku/>
              <w:topLinePunct w:val="0"/>
              <w:bidi w:val="0"/>
              <w:spacing w:line="360" w:lineRule="auto"/>
              <w:rPr>
                <w:rFonts w:ascii="Times New Roman"/>
                <w:color w:val="000000"/>
                <w:sz w:val="26"/>
                <w:highlight w:val="none"/>
              </w:rPr>
            </w:pPr>
          </w:p>
        </w:tc>
        <w:tc>
          <w:tcPr>
            <w:tcW w:w="791" w:type="dxa"/>
          </w:tcPr>
          <w:p>
            <w:pPr>
              <w:pStyle w:val="40"/>
              <w:pageBreakBefore w:val="0"/>
              <w:kinsoku/>
              <w:topLinePunct w:val="0"/>
              <w:bidi w:val="0"/>
              <w:spacing w:line="360" w:lineRule="auto"/>
              <w:rPr>
                <w:rFonts w:ascii="Times New Roman"/>
                <w:color w:val="000000"/>
                <w:sz w:val="26"/>
                <w:highlight w:val="none"/>
              </w:rPr>
            </w:pPr>
          </w:p>
        </w:tc>
        <w:tc>
          <w:tcPr>
            <w:tcW w:w="849" w:type="dxa"/>
          </w:tcPr>
          <w:p>
            <w:pPr>
              <w:pStyle w:val="40"/>
              <w:pageBreakBefore w:val="0"/>
              <w:kinsoku/>
              <w:topLinePunct w:val="0"/>
              <w:bidi w:val="0"/>
              <w:spacing w:line="360" w:lineRule="auto"/>
              <w:rPr>
                <w:rFonts w:ascii="Times New Roman"/>
                <w:color w:val="000000"/>
                <w:sz w:val="26"/>
                <w:highlight w:val="none"/>
              </w:rPr>
            </w:pPr>
          </w:p>
        </w:tc>
        <w:tc>
          <w:tcPr>
            <w:tcW w:w="2131" w:type="dxa"/>
          </w:tcPr>
          <w:p>
            <w:pPr>
              <w:pStyle w:val="40"/>
              <w:pageBreakBefore w:val="0"/>
              <w:kinsoku/>
              <w:topLinePunct w:val="0"/>
              <w:bidi w:val="0"/>
              <w:spacing w:line="360" w:lineRule="auto"/>
              <w:rPr>
                <w:rFonts w:ascii="Times New Roman"/>
                <w:color w:val="000000"/>
                <w:sz w:val="26"/>
                <w:highlight w:val="none"/>
              </w:rPr>
            </w:pPr>
          </w:p>
        </w:tc>
        <w:tc>
          <w:tcPr>
            <w:tcW w:w="710" w:type="dxa"/>
          </w:tcPr>
          <w:p>
            <w:pPr>
              <w:pStyle w:val="40"/>
              <w:pageBreakBefore w:val="0"/>
              <w:kinsoku/>
              <w:topLinePunct w:val="0"/>
              <w:bidi w:val="0"/>
              <w:spacing w:line="360" w:lineRule="auto"/>
              <w:rPr>
                <w:rFonts w:ascii="Times New Roman"/>
                <w:color w:val="000000"/>
                <w:sz w:val="2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710" w:type="dxa"/>
          </w:tcPr>
          <w:p>
            <w:pPr>
              <w:pStyle w:val="40"/>
              <w:pageBreakBefore w:val="0"/>
              <w:kinsoku/>
              <w:topLinePunct w:val="0"/>
              <w:bidi w:val="0"/>
              <w:spacing w:line="360" w:lineRule="auto"/>
              <w:rPr>
                <w:rFonts w:ascii="Times New Roman"/>
                <w:color w:val="000000"/>
                <w:sz w:val="26"/>
                <w:highlight w:val="none"/>
              </w:rPr>
            </w:pPr>
          </w:p>
        </w:tc>
        <w:tc>
          <w:tcPr>
            <w:tcW w:w="715" w:type="dxa"/>
          </w:tcPr>
          <w:p>
            <w:pPr>
              <w:pStyle w:val="40"/>
              <w:pageBreakBefore w:val="0"/>
              <w:kinsoku/>
              <w:topLinePunct w:val="0"/>
              <w:bidi w:val="0"/>
              <w:spacing w:line="360" w:lineRule="auto"/>
              <w:rPr>
                <w:rFonts w:ascii="Times New Roman"/>
                <w:color w:val="000000"/>
                <w:sz w:val="26"/>
                <w:highlight w:val="none"/>
              </w:rPr>
            </w:pPr>
          </w:p>
        </w:tc>
        <w:tc>
          <w:tcPr>
            <w:tcW w:w="710" w:type="dxa"/>
          </w:tcPr>
          <w:p>
            <w:pPr>
              <w:pStyle w:val="40"/>
              <w:pageBreakBefore w:val="0"/>
              <w:kinsoku/>
              <w:topLinePunct w:val="0"/>
              <w:bidi w:val="0"/>
              <w:spacing w:line="360" w:lineRule="auto"/>
              <w:rPr>
                <w:rFonts w:ascii="Times New Roman"/>
                <w:color w:val="000000"/>
                <w:sz w:val="26"/>
                <w:highlight w:val="none"/>
              </w:rPr>
            </w:pPr>
          </w:p>
        </w:tc>
        <w:tc>
          <w:tcPr>
            <w:tcW w:w="1137" w:type="dxa"/>
          </w:tcPr>
          <w:p>
            <w:pPr>
              <w:pStyle w:val="40"/>
              <w:pageBreakBefore w:val="0"/>
              <w:kinsoku/>
              <w:topLinePunct w:val="0"/>
              <w:bidi w:val="0"/>
              <w:spacing w:line="360" w:lineRule="auto"/>
              <w:rPr>
                <w:rFonts w:ascii="Times New Roman"/>
                <w:color w:val="000000"/>
                <w:sz w:val="26"/>
                <w:highlight w:val="none"/>
              </w:rPr>
            </w:pPr>
          </w:p>
        </w:tc>
        <w:tc>
          <w:tcPr>
            <w:tcW w:w="767" w:type="dxa"/>
          </w:tcPr>
          <w:p>
            <w:pPr>
              <w:pStyle w:val="40"/>
              <w:pageBreakBefore w:val="0"/>
              <w:kinsoku/>
              <w:topLinePunct w:val="0"/>
              <w:bidi w:val="0"/>
              <w:spacing w:line="360" w:lineRule="auto"/>
              <w:rPr>
                <w:rFonts w:ascii="Times New Roman"/>
                <w:color w:val="000000"/>
                <w:sz w:val="26"/>
                <w:highlight w:val="none"/>
              </w:rPr>
            </w:pPr>
          </w:p>
        </w:tc>
        <w:tc>
          <w:tcPr>
            <w:tcW w:w="791" w:type="dxa"/>
          </w:tcPr>
          <w:p>
            <w:pPr>
              <w:pStyle w:val="40"/>
              <w:pageBreakBefore w:val="0"/>
              <w:kinsoku/>
              <w:topLinePunct w:val="0"/>
              <w:bidi w:val="0"/>
              <w:spacing w:line="360" w:lineRule="auto"/>
              <w:rPr>
                <w:rFonts w:ascii="Times New Roman"/>
                <w:color w:val="000000"/>
                <w:sz w:val="26"/>
                <w:highlight w:val="none"/>
              </w:rPr>
            </w:pPr>
          </w:p>
        </w:tc>
        <w:tc>
          <w:tcPr>
            <w:tcW w:w="849" w:type="dxa"/>
          </w:tcPr>
          <w:p>
            <w:pPr>
              <w:pStyle w:val="40"/>
              <w:pageBreakBefore w:val="0"/>
              <w:kinsoku/>
              <w:topLinePunct w:val="0"/>
              <w:bidi w:val="0"/>
              <w:spacing w:line="360" w:lineRule="auto"/>
              <w:rPr>
                <w:rFonts w:ascii="Times New Roman"/>
                <w:color w:val="000000"/>
                <w:sz w:val="26"/>
                <w:highlight w:val="none"/>
              </w:rPr>
            </w:pPr>
          </w:p>
        </w:tc>
        <w:tc>
          <w:tcPr>
            <w:tcW w:w="2131" w:type="dxa"/>
          </w:tcPr>
          <w:p>
            <w:pPr>
              <w:pStyle w:val="40"/>
              <w:pageBreakBefore w:val="0"/>
              <w:kinsoku/>
              <w:topLinePunct w:val="0"/>
              <w:bidi w:val="0"/>
              <w:spacing w:line="360" w:lineRule="auto"/>
              <w:rPr>
                <w:rFonts w:ascii="Times New Roman"/>
                <w:color w:val="000000"/>
                <w:sz w:val="26"/>
                <w:highlight w:val="none"/>
              </w:rPr>
            </w:pPr>
          </w:p>
        </w:tc>
        <w:tc>
          <w:tcPr>
            <w:tcW w:w="710" w:type="dxa"/>
          </w:tcPr>
          <w:p>
            <w:pPr>
              <w:pStyle w:val="40"/>
              <w:pageBreakBefore w:val="0"/>
              <w:kinsoku/>
              <w:topLinePunct w:val="0"/>
              <w:bidi w:val="0"/>
              <w:spacing w:line="360" w:lineRule="auto"/>
              <w:rPr>
                <w:rFonts w:ascii="Times New Roman"/>
                <w:color w:val="000000"/>
                <w:sz w:val="2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710" w:type="dxa"/>
          </w:tcPr>
          <w:p>
            <w:pPr>
              <w:pStyle w:val="40"/>
              <w:pageBreakBefore w:val="0"/>
              <w:kinsoku/>
              <w:topLinePunct w:val="0"/>
              <w:bidi w:val="0"/>
              <w:spacing w:line="360" w:lineRule="auto"/>
              <w:rPr>
                <w:rFonts w:ascii="Times New Roman"/>
                <w:color w:val="000000"/>
                <w:sz w:val="26"/>
                <w:highlight w:val="none"/>
              </w:rPr>
            </w:pPr>
          </w:p>
        </w:tc>
        <w:tc>
          <w:tcPr>
            <w:tcW w:w="715" w:type="dxa"/>
          </w:tcPr>
          <w:p>
            <w:pPr>
              <w:pStyle w:val="40"/>
              <w:pageBreakBefore w:val="0"/>
              <w:kinsoku/>
              <w:topLinePunct w:val="0"/>
              <w:bidi w:val="0"/>
              <w:spacing w:line="360" w:lineRule="auto"/>
              <w:rPr>
                <w:rFonts w:ascii="Times New Roman"/>
                <w:color w:val="000000"/>
                <w:sz w:val="26"/>
                <w:highlight w:val="none"/>
              </w:rPr>
            </w:pPr>
          </w:p>
        </w:tc>
        <w:tc>
          <w:tcPr>
            <w:tcW w:w="710" w:type="dxa"/>
          </w:tcPr>
          <w:p>
            <w:pPr>
              <w:pStyle w:val="40"/>
              <w:pageBreakBefore w:val="0"/>
              <w:kinsoku/>
              <w:topLinePunct w:val="0"/>
              <w:bidi w:val="0"/>
              <w:spacing w:line="360" w:lineRule="auto"/>
              <w:rPr>
                <w:rFonts w:ascii="Times New Roman"/>
                <w:color w:val="000000"/>
                <w:sz w:val="26"/>
                <w:highlight w:val="none"/>
              </w:rPr>
            </w:pPr>
          </w:p>
        </w:tc>
        <w:tc>
          <w:tcPr>
            <w:tcW w:w="1137" w:type="dxa"/>
          </w:tcPr>
          <w:p>
            <w:pPr>
              <w:pStyle w:val="40"/>
              <w:pageBreakBefore w:val="0"/>
              <w:kinsoku/>
              <w:topLinePunct w:val="0"/>
              <w:bidi w:val="0"/>
              <w:spacing w:line="360" w:lineRule="auto"/>
              <w:rPr>
                <w:rFonts w:ascii="Times New Roman"/>
                <w:color w:val="000000"/>
                <w:sz w:val="26"/>
                <w:highlight w:val="none"/>
              </w:rPr>
            </w:pPr>
          </w:p>
        </w:tc>
        <w:tc>
          <w:tcPr>
            <w:tcW w:w="767" w:type="dxa"/>
          </w:tcPr>
          <w:p>
            <w:pPr>
              <w:pStyle w:val="40"/>
              <w:pageBreakBefore w:val="0"/>
              <w:kinsoku/>
              <w:topLinePunct w:val="0"/>
              <w:bidi w:val="0"/>
              <w:spacing w:line="360" w:lineRule="auto"/>
              <w:rPr>
                <w:rFonts w:ascii="Times New Roman"/>
                <w:color w:val="000000"/>
                <w:sz w:val="26"/>
                <w:highlight w:val="none"/>
              </w:rPr>
            </w:pPr>
          </w:p>
        </w:tc>
        <w:tc>
          <w:tcPr>
            <w:tcW w:w="791" w:type="dxa"/>
          </w:tcPr>
          <w:p>
            <w:pPr>
              <w:pStyle w:val="40"/>
              <w:pageBreakBefore w:val="0"/>
              <w:kinsoku/>
              <w:topLinePunct w:val="0"/>
              <w:bidi w:val="0"/>
              <w:spacing w:line="360" w:lineRule="auto"/>
              <w:rPr>
                <w:rFonts w:ascii="Times New Roman"/>
                <w:color w:val="000000"/>
                <w:sz w:val="26"/>
                <w:highlight w:val="none"/>
              </w:rPr>
            </w:pPr>
          </w:p>
        </w:tc>
        <w:tc>
          <w:tcPr>
            <w:tcW w:w="849" w:type="dxa"/>
          </w:tcPr>
          <w:p>
            <w:pPr>
              <w:pStyle w:val="40"/>
              <w:pageBreakBefore w:val="0"/>
              <w:kinsoku/>
              <w:topLinePunct w:val="0"/>
              <w:bidi w:val="0"/>
              <w:spacing w:line="360" w:lineRule="auto"/>
              <w:rPr>
                <w:rFonts w:ascii="Times New Roman"/>
                <w:color w:val="000000"/>
                <w:sz w:val="26"/>
                <w:highlight w:val="none"/>
              </w:rPr>
            </w:pPr>
          </w:p>
        </w:tc>
        <w:tc>
          <w:tcPr>
            <w:tcW w:w="2131" w:type="dxa"/>
          </w:tcPr>
          <w:p>
            <w:pPr>
              <w:pStyle w:val="40"/>
              <w:pageBreakBefore w:val="0"/>
              <w:kinsoku/>
              <w:topLinePunct w:val="0"/>
              <w:bidi w:val="0"/>
              <w:spacing w:line="360" w:lineRule="auto"/>
              <w:rPr>
                <w:rFonts w:ascii="Times New Roman"/>
                <w:color w:val="000000"/>
                <w:sz w:val="26"/>
                <w:highlight w:val="none"/>
              </w:rPr>
            </w:pPr>
          </w:p>
        </w:tc>
        <w:tc>
          <w:tcPr>
            <w:tcW w:w="710" w:type="dxa"/>
          </w:tcPr>
          <w:p>
            <w:pPr>
              <w:pStyle w:val="40"/>
              <w:pageBreakBefore w:val="0"/>
              <w:kinsoku/>
              <w:topLinePunct w:val="0"/>
              <w:bidi w:val="0"/>
              <w:spacing w:line="360" w:lineRule="auto"/>
              <w:rPr>
                <w:rFonts w:ascii="Times New Roman"/>
                <w:color w:val="000000"/>
                <w:sz w:val="2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710" w:type="dxa"/>
          </w:tcPr>
          <w:p>
            <w:pPr>
              <w:pStyle w:val="40"/>
              <w:pageBreakBefore w:val="0"/>
              <w:kinsoku/>
              <w:topLinePunct w:val="0"/>
              <w:bidi w:val="0"/>
              <w:spacing w:line="360" w:lineRule="auto"/>
              <w:rPr>
                <w:rFonts w:ascii="Times New Roman"/>
                <w:color w:val="000000"/>
                <w:sz w:val="26"/>
                <w:highlight w:val="none"/>
              </w:rPr>
            </w:pPr>
          </w:p>
        </w:tc>
        <w:tc>
          <w:tcPr>
            <w:tcW w:w="715" w:type="dxa"/>
          </w:tcPr>
          <w:p>
            <w:pPr>
              <w:pStyle w:val="40"/>
              <w:pageBreakBefore w:val="0"/>
              <w:kinsoku/>
              <w:topLinePunct w:val="0"/>
              <w:bidi w:val="0"/>
              <w:spacing w:line="360" w:lineRule="auto"/>
              <w:rPr>
                <w:rFonts w:ascii="Times New Roman"/>
                <w:color w:val="000000"/>
                <w:sz w:val="26"/>
                <w:highlight w:val="none"/>
              </w:rPr>
            </w:pPr>
          </w:p>
        </w:tc>
        <w:tc>
          <w:tcPr>
            <w:tcW w:w="710" w:type="dxa"/>
          </w:tcPr>
          <w:p>
            <w:pPr>
              <w:pStyle w:val="40"/>
              <w:pageBreakBefore w:val="0"/>
              <w:kinsoku/>
              <w:topLinePunct w:val="0"/>
              <w:bidi w:val="0"/>
              <w:spacing w:line="360" w:lineRule="auto"/>
              <w:rPr>
                <w:rFonts w:ascii="Times New Roman"/>
                <w:color w:val="000000"/>
                <w:sz w:val="26"/>
                <w:highlight w:val="none"/>
              </w:rPr>
            </w:pPr>
          </w:p>
        </w:tc>
        <w:tc>
          <w:tcPr>
            <w:tcW w:w="1137" w:type="dxa"/>
          </w:tcPr>
          <w:p>
            <w:pPr>
              <w:pStyle w:val="40"/>
              <w:pageBreakBefore w:val="0"/>
              <w:kinsoku/>
              <w:topLinePunct w:val="0"/>
              <w:bidi w:val="0"/>
              <w:spacing w:line="360" w:lineRule="auto"/>
              <w:rPr>
                <w:rFonts w:ascii="Times New Roman"/>
                <w:color w:val="000000"/>
                <w:sz w:val="26"/>
                <w:highlight w:val="none"/>
              </w:rPr>
            </w:pPr>
          </w:p>
        </w:tc>
        <w:tc>
          <w:tcPr>
            <w:tcW w:w="767" w:type="dxa"/>
          </w:tcPr>
          <w:p>
            <w:pPr>
              <w:pStyle w:val="40"/>
              <w:pageBreakBefore w:val="0"/>
              <w:kinsoku/>
              <w:topLinePunct w:val="0"/>
              <w:bidi w:val="0"/>
              <w:spacing w:line="360" w:lineRule="auto"/>
              <w:rPr>
                <w:rFonts w:ascii="Times New Roman"/>
                <w:color w:val="000000"/>
                <w:sz w:val="26"/>
                <w:highlight w:val="none"/>
              </w:rPr>
            </w:pPr>
          </w:p>
        </w:tc>
        <w:tc>
          <w:tcPr>
            <w:tcW w:w="791" w:type="dxa"/>
          </w:tcPr>
          <w:p>
            <w:pPr>
              <w:pStyle w:val="40"/>
              <w:pageBreakBefore w:val="0"/>
              <w:kinsoku/>
              <w:topLinePunct w:val="0"/>
              <w:bidi w:val="0"/>
              <w:spacing w:line="360" w:lineRule="auto"/>
              <w:rPr>
                <w:rFonts w:ascii="Times New Roman"/>
                <w:color w:val="000000"/>
                <w:sz w:val="26"/>
                <w:highlight w:val="none"/>
              </w:rPr>
            </w:pPr>
          </w:p>
        </w:tc>
        <w:tc>
          <w:tcPr>
            <w:tcW w:w="849" w:type="dxa"/>
          </w:tcPr>
          <w:p>
            <w:pPr>
              <w:pStyle w:val="40"/>
              <w:pageBreakBefore w:val="0"/>
              <w:kinsoku/>
              <w:topLinePunct w:val="0"/>
              <w:bidi w:val="0"/>
              <w:spacing w:line="360" w:lineRule="auto"/>
              <w:rPr>
                <w:rFonts w:ascii="Times New Roman"/>
                <w:color w:val="000000"/>
                <w:sz w:val="26"/>
                <w:highlight w:val="none"/>
              </w:rPr>
            </w:pPr>
          </w:p>
        </w:tc>
        <w:tc>
          <w:tcPr>
            <w:tcW w:w="2131" w:type="dxa"/>
          </w:tcPr>
          <w:p>
            <w:pPr>
              <w:pStyle w:val="40"/>
              <w:pageBreakBefore w:val="0"/>
              <w:kinsoku/>
              <w:topLinePunct w:val="0"/>
              <w:bidi w:val="0"/>
              <w:spacing w:line="360" w:lineRule="auto"/>
              <w:rPr>
                <w:rFonts w:ascii="Times New Roman"/>
                <w:color w:val="000000"/>
                <w:sz w:val="26"/>
                <w:highlight w:val="none"/>
              </w:rPr>
            </w:pPr>
          </w:p>
        </w:tc>
        <w:tc>
          <w:tcPr>
            <w:tcW w:w="710" w:type="dxa"/>
          </w:tcPr>
          <w:p>
            <w:pPr>
              <w:pStyle w:val="40"/>
              <w:pageBreakBefore w:val="0"/>
              <w:kinsoku/>
              <w:topLinePunct w:val="0"/>
              <w:bidi w:val="0"/>
              <w:spacing w:line="360" w:lineRule="auto"/>
              <w:rPr>
                <w:rFonts w:ascii="Times New Roman"/>
                <w:color w:val="000000"/>
                <w:sz w:val="2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710" w:type="dxa"/>
          </w:tcPr>
          <w:p>
            <w:pPr>
              <w:pStyle w:val="40"/>
              <w:pageBreakBefore w:val="0"/>
              <w:kinsoku/>
              <w:topLinePunct w:val="0"/>
              <w:bidi w:val="0"/>
              <w:spacing w:line="360" w:lineRule="auto"/>
              <w:rPr>
                <w:rFonts w:ascii="Times New Roman"/>
                <w:color w:val="000000"/>
                <w:sz w:val="26"/>
                <w:highlight w:val="none"/>
              </w:rPr>
            </w:pPr>
          </w:p>
        </w:tc>
        <w:tc>
          <w:tcPr>
            <w:tcW w:w="715" w:type="dxa"/>
          </w:tcPr>
          <w:p>
            <w:pPr>
              <w:pStyle w:val="40"/>
              <w:pageBreakBefore w:val="0"/>
              <w:kinsoku/>
              <w:topLinePunct w:val="0"/>
              <w:bidi w:val="0"/>
              <w:spacing w:line="360" w:lineRule="auto"/>
              <w:rPr>
                <w:rFonts w:ascii="Times New Roman"/>
                <w:color w:val="000000"/>
                <w:sz w:val="26"/>
                <w:highlight w:val="none"/>
              </w:rPr>
            </w:pPr>
          </w:p>
        </w:tc>
        <w:tc>
          <w:tcPr>
            <w:tcW w:w="710" w:type="dxa"/>
          </w:tcPr>
          <w:p>
            <w:pPr>
              <w:pStyle w:val="40"/>
              <w:pageBreakBefore w:val="0"/>
              <w:kinsoku/>
              <w:topLinePunct w:val="0"/>
              <w:bidi w:val="0"/>
              <w:spacing w:line="360" w:lineRule="auto"/>
              <w:rPr>
                <w:rFonts w:ascii="Times New Roman"/>
                <w:color w:val="000000"/>
                <w:sz w:val="26"/>
                <w:highlight w:val="none"/>
              </w:rPr>
            </w:pPr>
          </w:p>
        </w:tc>
        <w:tc>
          <w:tcPr>
            <w:tcW w:w="1137" w:type="dxa"/>
          </w:tcPr>
          <w:p>
            <w:pPr>
              <w:pStyle w:val="40"/>
              <w:pageBreakBefore w:val="0"/>
              <w:kinsoku/>
              <w:topLinePunct w:val="0"/>
              <w:bidi w:val="0"/>
              <w:spacing w:line="360" w:lineRule="auto"/>
              <w:rPr>
                <w:rFonts w:ascii="Times New Roman"/>
                <w:color w:val="000000"/>
                <w:sz w:val="26"/>
                <w:highlight w:val="none"/>
              </w:rPr>
            </w:pPr>
          </w:p>
        </w:tc>
        <w:tc>
          <w:tcPr>
            <w:tcW w:w="767" w:type="dxa"/>
          </w:tcPr>
          <w:p>
            <w:pPr>
              <w:pStyle w:val="40"/>
              <w:pageBreakBefore w:val="0"/>
              <w:kinsoku/>
              <w:topLinePunct w:val="0"/>
              <w:bidi w:val="0"/>
              <w:spacing w:line="360" w:lineRule="auto"/>
              <w:rPr>
                <w:rFonts w:ascii="Times New Roman"/>
                <w:color w:val="000000"/>
                <w:sz w:val="26"/>
                <w:highlight w:val="none"/>
              </w:rPr>
            </w:pPr>
          </w:p>
        </w:tc>
        <w:tc>
          <w:tcPr>
            <w:tcW w:w="791" w:type="dxa"/>
          </w:tcPr>
          <w:p>
            <w:pPr>
              <w:pStyle w:val="40"/>
              <w:pageBreakBefore w:val="0"/>
              <w:kinsoku/>
              <w:topLinePunct w:val="0"/>
              <w:bidi w:val="0"/>
              <w:spacing w:line="360" w:lineRule="auto"/>
              <w:rPr>
                <w:rFonts w:ascii="Times New Roman"/>
                <w:color w:val="000000"/>
                <w:sz w:val="26"/>
                <w:highlight w:val="none"/>
              </w:rPr>
            </w:pPr>
          </w:p>
        </w:tc>
        <w:tc>
          <w:tcPr>
            <w:tcW w:w="849" w:type="dxa"/>
          </w:tcPr>
          <w:p>
            <w:pPr>
              <w:pStyle w:val="40"/>
              <w:pageBreakBefore w:val="0"/>
              <w:kinsoku/>
              <w:topLinePunct w:val="0"/>
              <w:bidi w:val="0"/>
              <w:spacing w:line="360" w:lineRule="auto"/>
              <w:rPr>
                <w:rFonts w:ascii="Times New Roman"/>
                <w:color w:val="000000"/>
                <w:sz w:val="26"/>
                <w:highlight w:val="none"/>
              </w:rPr>
            </w:pPr>
          </w:p>
        </w:tc>
        <w:tc>
          <w:tcPr>
            <w:tcW w:w="2131" w:type="dxa"/>
          </w:tcPr>
          <w:p>
            <w:pPr>
              <w:pStyle w:val="40"/>
              <w:pageBreakBefore w:val="0"/>
              <w:kinsoku/>
              <w:topLinePunct w:val="0"/>
              <w:bidi w:val="0"/>
              <w:spacing w:line="360" w:lineRule="auto"/>
              <w:rPr>
                <w:rFonts w:ascii="Times New Roman"/>
                <w:color w:val="000000"/>
                <w:sz w:val="26"/>
                <w:highlight w:val="none"/>
              </w:rPr>
            </w:pPr>
          </w:p>
        </w:tc>
        <w:tc>
          <w:tcPr>
            <w:tcW w:w="710" w:type="dxa"/>
          </w:tcPr>
          <w:p>
            <w:pPr>
              <w:pStyle w:val="40"/>
              <w:pageBreakBefore w:val="0"/>
              <w:kinsoku/>
              <w:topLinePunct w:val="0"/>
              <w:bidi w:val="0"/>
              <w:spacing w:line="360" w:lineRule="auto"/>
              <w:rPr>
                <w:rFonts w:ascii="Times New Roman"/>
                <w:color w:val="000000"/>
                <w:sz w:val="2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710" w:type="dxa"/>
          </w:tcPr>
          <w:p>
            <w:pPr>
              <w:pStyle w:val="40"/>
              <w:pageBreakBefore w:val="0"/>
              <w:kinsoku/>
              <w:topLinePunct w:val="0"/>
              <w:bidi w:val="0"/>
              <w:spacing w:line="360" w:lineRule="auto"/>
              <w:rPr>
                <w:rFonts w:ascii="Times New Roman"/>
                <w:color w:val="000000"/>
                <w:sz w:val="26"/>
                <w:highlight w:val="none"/>
              </w:rPr>
            </w:pPr>
          </w:p>
        </w:tc>
        <w:tc>
          <w:tcPr>
            <w:tcW w:w="715" w:type="dxa"/>
          </w:tcPr>
          <w:p>
            <w:pPr>
              <w:pStyle w:val="40"/>
              <w:pageBreakBefore w:val="0"/>
              <w:kinsoku/>
              <w:topLinePunct w:val="0"/>
              <w:bidi w:val="0"/>
              <w:spacing w:line="360" w:lineRule="auto"/>
              <w:rPr>
                <w:rFonts w:ascii="Times New Roman"/>
                <w:color w:val="000000"/>
                <w:sz w:val="26"/>
                <w:highlight w:val="none"/>
              </w:rPr>
            </w:pPr>
          </w:p>
        </w:tc>
        <w:tc>
          <w:tcPr>
            <w:tcW w:w="710" w:type="dxa"/>
          </w:tcPr>
          <w:p>
            <w:pPr>
              <w:pStyle w:val="40"/>
              <w:pageBreakBefore w:val="0"/>
              <w:kinsoku/>
              <w:topLinePunct w:val="0"/>
              <w:bidi w:val="0"/>
              <w:spacing w:line="360" w:lineRule="auto"/>
              <w:rPr>
                <w:rFonts w:ascii="Times New Roman"/>
                <w:color w:val="000000"/>
                <w:sz w:val="26"/>
                <w:highlight w:val="none"/>
              </w:rPr>
            </w:pPr>
          </w:p>
        </w:tc>
        <w:tc>
          <w:tcPr>
            <w:tcW w:w="1137" w:type="dxa"/>
          </w:tcPr>
          <w:p>
            <w:pPr>
              <w:pStyle w:val="40"/>
              <w:pageBreakBefore w:val="0"/>
              <w:kinsoku/>
              <w:topLinePunct w:val="0"/>
              <w:bidi w:val="0"/>
              <w:spacing w:line="360" w:lineRule="auto"/>
              <w:rPr>
                <w:rFonts w:ascii="Times New Roman"/>
                <w:color w:val="000000"/>
                <w:sz w:val="26"/>
                <w:highlight w:val="none"/>
              </w:rPr>
            </w:pPr>
          </w:p>
        </w:tc>
        <w:tc>
          <w:tcPr>
            <w:tcW w:w="767" w:type="dxa"/>
          </w:tcPr>
          <w:p>
            <w:pPr>
              <w:pStyle w:val="40"/>
              <w:pageBreakBefore w:val="0"/>
              <w:kinsoku/>
              <w:topLinePunct w:val="0"/>
              <w:bidi w:val="0"/>
              <w:spacing w:line="360" w:lineRule="auto"/>
              <w:rPr>
                <w:rFonts w:ascii="Times New Roman"/>
                <w:color w:val="000000"/>
                <w:sz w:val="26"/>
                <w:highlight w:val="none"/>
              </w:rPr>
            </w:pPr>
          </w:p>
        </w:tc>
        <w:tc>
          <w:tcPr>
            <w:tcW w:w="791" w:type="dxa"/>
          </w:tcPr>
          <w:p>
            <w:pPr>
              <w:pStyle w:val="40"/>
              <w:pageBreakBefore w:val="0"/>
              <w:kinsoku/>
              <w:topLinePunct w:val="0"/>
              <w:bidi w:val="0"/>
              <w:spacing w:line="360" w:lineRule="auto"/>
              <w:rPr>
                <w:rFonts w:ascii="Times New Roman"/>
                <w:color w:val="000000"/>
                <w:sz w:val="26"/>
                <w:highlight w:val="none"/>
              </w:rPr>
            </w:pPr>
          </w:p>
        </w:tc>
        <w:tc>
          <w:tcPr>
            <w:tcW w:w="849" w:type="dxa"/>
          </w:tcPr>
          <w:p>
            <w:pPr>
              <w:pStyle w:val="40"/>
              <w:pageBreakBefore w:val="0"/>
              <w:kinsoku/>
              <w:topLinePunct w:val="0"/>
              <w:bidi w:val="0"/>
              <w:spacing w:line="360" w:lineRule="auto"/>
              <w:rPr>
                <w:rFonts w:ascii="Times New Roman"/>
                <w:color w:val="000000"/>
                <w:sz w:val="26"/>
                <w:highlight w:val="none"/>
              </w:rPr>
            </w:pPr>
          </w:p>
        </w:tc>
        <w:tc>
          <w:tcPr>
            <w:tcW w:w="2131" w:type="dxa"/>
          </w:tcPr>
          <w:p>
            <w:pPr>
              <w:pStyle w:val="40"/>
              <w:pageBreakBefore w:val="0"/>
              <w:kinsoku/>
              <w:topLinePunct w:val="0"/>
              <w:bidi w:val="0"/>
              <w:spacing w:line="360" w:lineRule="auto"/>
              <w:rPr>
                <w:rFonts w:ascii="Times New Roman"/>
                <w:color w:val="000000"/>
                <w:sz w:val="26"/>
                <w:highlight w:val="none"/>
              </w:rPr>
            </w:pPr>
          </w:p>
        </w:tc>
        <w:tc>
          <w:tcPr>
            <w:tcW w:w="710" w:type="dxa"/>
          </w:tcPr>
          <w:p>
            <w:pPr>
              <w:pStyle w:val="40"/>
              <w:pageBreakBefore w:val="0"/>
              <w:kinsoku/>
              <w:topLinePunct w:val="0"/>
              <w:bidi w:val="0"/>
              <w:spacing w:line="360" w:lineRule="auto"/>
              <w:rPr>
                <w:rFonts w:ascii="Times New Roman"/>
                <w:color w:val="000000"/>
                <w:sz w:val="2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710" w:type="dxa"/>
          </w:tcPr>
          <w:p>
            <w:pPr>
              <w:pStyle w:val="40"/>
              <w:pageBreakBefore w:val="0"/>
              <w:kinsoku/>
              <w:topLinePunct w:val="0"/>
              <w:bidi w:val="0"/>
              <w:spacing w:line="360" w:lineRule="auto"/>
              <w:rPr>
                <w:rFonts w:ascii="Times New Roman"/>
                <w:color w:val="000000"/>
                <w:sz w:val="26"/>
                <w:highlight w:val="none"/>
              </w:rPr>
            </w:pPr>
          </w:p>
        </w:tc>
        <w:tc>
          <w:tcPr>
            <w:tcW w:w="715" w:type="dxa"/>
          </w:tcPr>
          <w:p>
            <w:pPr>
              <w:pStyle w:val="40"/>
              <w:pageBreakBefore w:val="0"/>
              <w:kinsoku/>
              <w:topLinePunct w:val="0"/>
              <w:bidi w:val="0"/>
              <w:spacing w:line="360" w:lineRule="auto"/>
              <w:rPr>
                <w:rFonts w:ascii="Times New Roman"/>
                <w:color w:val="000000"/>
                <w:sz w:val="26"/>
                <w:highlight w:val="none"/>
              </w:rPr>
            </w:pPr>
          </w:p>
        </w:tc>
        <w:tc>
          <w:tcPr>
            <w:tcW w:w="710" w:type="dxa"/>
          </w:tcPr>
          <w:p>
            <w:pPr>
              <w:pStyle w:val="40"/>
              <w:pageBreakBefore w:val="0"/>
              <w:kinsoku/>
              <w:topLinePunct w:val="0"/>
              <w:bidi w:val="0"/>
              <w:spacing w:line="360" w:lineRule="auto"/>
              <w:rPr>
                <w:rFonts w:ascii="Times New Roman"/>
                <w:color w:val="000000"/>
                <w:sz w:val="26"/>
                <w:highlight w:val="none"/>
              </w:rPr>
            </w:pPr>
          </w:p>
        </w:tc>
        <w:tc>
          <w:tcPr>
            <w:tcW w:w="1137" w:type="dxa"/>
          </w:tcPr>
          <w:p>
            <w:pPr>
              <w:pStyle w:val="40"/>
              <w:pageBreakBefore w:val="0"/>
              <w:kinsoku/>
              <w:topLinePunct w:val="0"/>
              <w:bidi w:val="0"/>
              <w:spacing w:line="360" w:lineRule="auto"/>
              <w:rPr>
                <w:rFonts w:ascii="Times New Roman"/>
                <w:color w:val="000000"/>
                <w:sz w:val="26"/>
                <w:highlight w:val="none"/>
              </w:rPr>
            </w:pPr>
          </w:p>
        </w:tc>
        <w:tc>
          <w:tcPr>
            <w:tcW w:w="767" w:type="dxa"/>
          </w:tcPr>
          <w:p>
            <w:pPr>
              <w:pStyle w:val="40"/>
              <w:pageBreakBefore w:val="0"/>
              <w:kinsoku/>
              <w:topLinePunct w:val="0"/>
              <w:bidi w:val="0"/>
              <w:spacing w:line="360" w:lineRule="auto"/>
              <w:rPr>
                <w:rFonts w:ascii="Times New Roman"/>
                <w:color w:val="000000"/>
                <w:sz w:val="26"/>
                <w:highlight w:val="none"/>
              </w:rPr>
            </w:pPr>
          </w:p>
        </w:tc>
        <w:tc>
          <w:tcPr>
            <w:tcW w:w="791" w:type="dxa"/>
          </w:tcPr>
          <w:p>
            <w:pPr>
              <w:pStyle w:val="40"/>
              <w:pageBreakBefore w:val="0"/>
              <w:kinsoku/>
              <w:topLinePunct w:val="0"/>
              <w:bidi w:val="0"/>
              <w:spacing w:line="360" w:lineRule="auto"/>
              <w:rPr>
                <w:rFonts w:ascii="Times New Roman"/>
                <w:color w:val="000000"/>
                <w:sz w:val="26"/>
                <w:highlight w:val="none"/>
              </w:rPr>
            </w:pPr>
          </w:p>
        </w:tc>
        <w:tc>
          <w:tcPr>
            <w:tcW w:w="849" w:type="dxa"/>
          </w:tcPr>
          <w:p>
            <w:pPr>
              <w:pStyle w:val="40"/>
              <w:pageBreakBefore w:val="0"/>
              <w:kinsoku/>
              <w:topLinePunct w:val="0"/>
              <w:bidi w:val="0"/>
              <w:spacing w:line="360" w:lineRule="auto"/>
              <w:rPr>
                <w:rFonts w:ascii="Times New Roman"/>
                <w:color w:val="000000"/>
                <w:sz w:val="26"/>
                <w:highlight w:val="none"/>
              </w:rPr>
            </w:pPr>
          </w:p>
        </w:tc>
        <w:tc>
          <w:tcPr>
            <w:tcW w:w="2131" w:type="dxa"/>
          </w:tcPr>
          <w:p>
            <w:pPr>
              <w:pStyle w:val="40"/>
              <w:pageBreakBefore w:val="0"/>
              <w:kinsoku/>
              <w:topLinePunct w:val="0"/>
              <w:bidi w:val="0"/>
              <w:spacing w:line="360" w:lineRule="auto"/>
              <w:rPr>
                <w:rFonts w:ascii="Times New Roman"/>
                <w:color w:val="000000"/>
                <w:sz w:val="26"/>
                <w:highlight w:val="none"/>
              </w:rPr>
            </w:pPr>
          </w:p>
        </w:tc>
        <w:tc>
          <w:tcPr>
            <w:tcW w:w="710" w:type="dxa"/>
          </w:tcPr>
          <w:p>
            <w:pPr>
              <w:pStyle w:val="40"/>
              <w:pageBreakBefore w:val="0"/>
              <w:kinsoku/>
              <w:topLinePunct w:val="0"/>
              <w:bidi w:val="0"/>
              <w:spacing w:line="360" w:lineRule="auto"/>
              <w:rPr>
                <w:rFonts w:ascii="Times New Roman"/>
                <w:color w:val="000000"/>
                <w:sz w:val="2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710" w:type="dxa"/>
          </w:tcPr>
          <w:p>
            <w:pPr>
              <w:pStyle w:val="40"/>
              <w:pageBreakBefore w:val="0"/>
              <w:kinsoku/>
              <w:topLinePunct w:val="0"/>
              <w:bidi w:val="0"/>
              <w:spacing w:line="360" w:lineRule="auto"/>
              <w:rPr>
                <w:rFonts w:ascii="Times New Roman"/>
                <w:color w:val="000000"/>
                <w:sz w:val="26"/>
                <w:highlight w:val="none"/>
              </w:rPr>
            </w:pPr>
          </w:p>
        </w:tc>
        <w:tc>
          <w:tcPr>
            <w:tcW w:w="715" w:type="dxa"/>
          </w:tcPr>
          <w:p>
            <w:pPr>
              <w:pStyle w:val="40"/>
              <w:pageBreakBefore w:val="0"/>
              <w:kinsoku/>
              <w:topLinePunct w:val="0"/>
              <w:bidi w:val="0"/>
              <w:spacing w:line="360" w:lineRule="auto"/>
              <w:rPr>
                <w:rFonts w:ascii="Times New Roman"/>
                <w:color w:val="000000"/>
                <w:sz w:val="26"/>
                <w:highlight w:val="none"/>
              </w:rPr>
            </w:pPr>
          </w:p>
        </w:tc>
        <w:tc>
          <w:tcPr>
            <w:tcW w:w="710" w:type="dxa"/>
          </w:tcPr>
          <w:p>
            <w:pPr>
              <w:pStyle w:val="40"/>
              <w:pageBreakBefore w:val="0"/>
              <w:kinsoku/>
              <w:topLinePunct w:val="0"/>
              <w:bidi w:val="0"/>
              <w:spacing w:line="360" w:lineRule="auto"/>
              <w:rPr>
                <w:rFonts w:ascii="Times New Roman"/>
                <w:color w:val="000000"/>
                <w:sz w:val="26"/>
                <w:highlight w:val="none"/>
              </w:rPr>
            </w:pPr>
          </w:p>
        </w:tc>
        <w:tc>
          <w:tcPr>
            <w:tcW w:w="1137" w:type="dxa"/>
          </w:tcPr>
          <w:p>
            <w:pPr>
              <w:pStyle w:val="40"/>
              <w:pageBreakBefore w:val="0"/>
              <w:kinsoku/>
              <w:topLinePunct w:val="0"/>
              <w:bidi w:val="0"/>
              <w:spacing w:line="360" w:lineRule="auto"/>
              <w:rPr>
                <w:rFonts w:ascii="Times New Roman"/>
                <w:color w:val="000000"/>
                <w:sz w:val="26"/>
                <w:highlight w:val="none"/>
              </w:rPr>
            </w:pPr>
          </w:p>
        </w:tc>
        <w:tc>
          <w:tcPr>
            <w:tcW w:w="767" w:type="dxa"/>
          </w:tcPr>
          <w:p>
            <w:pPr>
              <w:pStyle w:val="40"/>
              <w:pageBreakBefore w:val="0"/>
              <w:kinsoku/>
              <w:topLinePunct w:val="0"/>
              <w:bidi w:val="0"/>
              <w:spacing w:line="360" w:lineRule="auto"/>
              <w:rPr>
                <w:rFonts w:ascii="Times New Roman"/>
                <w:color w:val="000000"/>
                <w:sz w:val="26"/>
                <w:highlight w:val="none"/>
              </w:rPr>
            </w:pPr>
          </w:p>
        </w:tc>
        <w:tc>
          <w:tcPr>
            <w:tcW w:w="791" w:type="dxa"/>
          </w:tcPr>
          <w:p>
            <w:pPr>
              <w:pStyle w:val="40"/>
              <w:pageBreakBefore w:val="0"/>
              <w:kinsoku/>
              <w:topLinePunct w:val="0"/>
              <w:bidi w:val="0"/>
              <w:spacing w:line="360" w:lineRule="auto"/>
              <w:rPr>
                <w:rFonts w:ascii="Times New Roman"/>
                <w:color w:val="000000"/>
                <w:sz w:val="26"/>
                <w:highlight w:val="none"/>
              </w:rPr>
            </w:pPr>
          </w:p>
        </w:tc>
        <w:tc>
          <w:tcPr>
            <w:tcW w:w="849" w:type="dxa"/>
          </w:tcPr>
          <w:p>
            <w:pPr>
              <w:pStyle w:val="40"/>
              <w:pageBreakBefore w:val="0"/>
              <w:kinsoku/>
              <w:topLinePunct w:val="0"/>
              <w:bidi w:val="0"/>
              <w:spacing w:line="360" w:lineRule="auto"/>
              <w:rPr>
                <w:rFonts w:ascii="Times New Roman"/>
                <w:color w:val="000000"/>
                <w:sz w:val="26"/>
                <w:highlight w:val="none"/>
              </w:rPr>
            </w:pPr>
          </w:p>
        </w:tc>
        <w:tc>
          <w:tcPr>
            <w:tcW w:w="2131" w:type="dxa"/>
          </w:tcPr>
          <w:p>
            <w:pPr>
              <w:pStyle w:val="40"/>
              <w:pageBreakBefore w:val="0"/>
              <w:kinsoku/>
              <w:topLinePunct w:val="0"/>
              <w:bidi w:val="0"/>
              <w:spacing w:line="360" w:lineRule="auto"/>
              <w:rPr>
                <w:rFonts w:ascii="Times New Roman"/>
                <w:color w:val="000000"/>
                <w:sz w:val="26"/>
                <w:highlight w:val="none"/>
              </w:rPr>
            </w:pPr>
          </w:p>
        </w:tc>
        <w:tc>
          <w:tcPr>
            <w:tcW w:w="710" w:type="dxa"/>
          </w:tcPr>
          <w:p>
            <w:pPr>
              <w:pStyle w:val="40"/>
              <w:pageBreakBefore w:val="0"/>
              <w:kinsoku/>
              <w:topLinePunct w:val="0"/>
              <w:bidi w:val="0"/>
              <w:spacing w:line="360" w:lineRule="auto"/>
              <w:rPr>
                <w:rFonts w:ascii="Times New Roman"/>
                <w:color w:val="000000"/>
                <w:sz w:val="2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710" w:type="dxa"/>
          </w:tcPr>
          <w:p>
            <w:pPr>
              <w:pStyle w:val="40"/>
              <w:pageBreakBefore w:val="0"/>
              <w:kinsoku/>
              <w:topLinePunct w:val="0"/>
              <w:bidi w:val="0"/>
              <w:spacing w:line="360" w:lineRule="auto"/>
              <w:rPr>
                <w:rFonts w:ascii="Times New Roman"/>
                <w:color w:val="000000"/>
                <w:sz w:val="26"/>
                <w:highlight w:val="none"/>
              </w:rPr>
            </w:pPr>
          </w:p>
        </w:tc>
        <w:tc>
          <w:tcPr>
            <w:tcW w:w="715" w:type="dxa"/>
          </w:tcPr>
          <w:p>
            <w:pPr>
              <w:pStyle w:val="40"/>
              <w:pageBreakBefore w:val="0"/>
              <w:kinsoku/>
              <w:topLinePunct w:val="0"/>
              <w:bidi w:val="0"/>
              <w:spacing w:line="360" w:lineRule="auto"/>
              <w:rPr>
                <w:rFonts w:ascii="Times New Roman"/>
                <w:color w:val="000000"/>
                <w:sz w:val="26"/>
                <w:highlight w:val="none"/>
              </w:rPr>
            </w:pPr>
          </w:p>
        </w:tc>
        <w:tc>
          <w:tcPr>
            <w:tcW w:w="710" w:type="dxa"/>
          </w:tcPr>
          <w:p>
            <w:pPr>
              <w:pStyle w:val="40"/>
              <w:pageBreakBefore w:val="0"/>
              <w:kinsoku/>
              <w:topLinePunct w:val="0"/>
              <w:bidi w:val="0"/>
              <w:spacing w:line="360" w:lineRule="auto"/>
              <w:rPr>
                <w:rFonts w:ascii="Times New Roman"/>
                <w:color w:val="000000"/>
                <w:sz w:val="26"/>
                <w:highlight w:val="none"/>
              </w:rPr>
            </w:pPr>
          </w:p>
        </w:tc>
        <w:tc>
          <w:tcPr>
            <w:tcW w:w="1137" w:type="dxa"/>
          </w:tcPr>
          <w:p>
            <w:pPr>
              <w:pStyle w:val="40"/>
              <w:pageBreakBefore w:val="0"/>
              <w:kinsoku/>
              <w:topLinePunct w:val="0"/>
              <w:bidi w:val="0"/>
              <w:spacing w:line="360" w:lineRule="auto"/>
              <w:rPr>
                <w:rFonts w:ascii="Times New Roman"/>
                <w:color w:val="000000"/>
                <w:sz w:val="26"/>
                <w:highlight w:val="none"/>
              </w:rPr>
            </w:pPr>
          </w:p>
        </w:tc>
        <w:tc>
          <w:tcPr>
            <w:tcW w:w="767" w:type="dxa"/>
          </w:tcPr>
          <w:p>
            <w:pPr>
              <w:pStyle w:val="40"/>
              <w:pageBreakBefore w:val="0"/>
              <w:kinsoku/>
              <w:topLinePunct w:val="0"/>
              <w:bidi w:val="0"/>
              <w:spacing w:line="360" w:lineRule="auto"/>
              <w:rPr>
                <w:rFonts w:ascii="Times New Roman"/>
                <w:color w:val="000000"/>
                <w:sz w:val="26"/>
                <w:highlight w:val="none"/>
              </w:rPr>
            </w:pPr>
          </w:p>
        </w:tc>
        <w:tc>
          <w:tcPr>
            <w:tcW w:w="791" w:type="dxa"/>
          </w:tcPr>
          <w:p>
            <w:pPr>
              <w:pStyle w:val="40"/>
              <w:pageBreakBefore w:val="0"/>
              <w:kinsoku/>
              <w:topLinePunct w:val="0"/>
              <w:bidi w:val="0"/>
              <w:spacing w:line="360" w:lineRule="auto"/>
              <w:rPr>
                <w:rFonts w:ascii="Times New Roman"/>
                <w:color w:val="000000"/>
                <w:sz w:val="26"/>
                <w:highlight w:val="none"/>
              </w:rPr>
            </w:pPr>
          </w:p>
        </w:tc>
        <w:tc>
          <w:tcPr>
            <w:tcW w:w="849" w:type="dxa"/>
          </w:tcPr>
          <w:p>
            <w:pPr>
              <w:pStyle w:val="40"/>
              <w:pageBreakBefore w:val="0"/>
              <w:kinsoku/>
              <w:topLinePunct w:val="0"/>
              <w:bidi w:val="0"/>
              <w:spacing w:line="360" w:lineRule="auto"/>
              <w:rPr>
                <w:rFonts w:ascii="Times New Roman"/>
                <w:color w:val="000000"/>
                <w:sz w:val="26"/>
                <w:highlight w:val="none"/>
              </w:rPr>
            </w:pPr>
          </w:p>
        </w:tc>
        <w:tc>
          <w:tcPr>
            <w:tcW w:w="2131" w:type="dxa"/>
          </w:tcPr>
          <w:p>
            <w:pPr>
              <w:pStyle w:val="40"/>
              <w:pageBreakBefore w:val="0"/>
              <w:kinsoku/>
              <w:topLinePunct w:val="0"/>
              <w:bidi w:val="0"/>
              <w:spacing w:line="360" w:lineRule="auto"/>
              <w:rPr>
                <w:rFonts w:ascii="Times New Roman"/>
                <w:color w:val="000000"/>
                <w:sz w:val="26"/>
                <w:highlight w:val="none"/>
              </w:rPr>
            </w:pPr>
          </w:p>
        </w:tc>
        <w:tc>
          <w:tcPr>
            <w:tcW w:w="710" w:type="dxa"/>
          </w:tcPr>
          <w:p>
            <w:pPr>
              <w:pStyle w:val="40"/>
              <w:pageBreakBefore w:val="0"/>
              <w:kinsoku/>
              <w:topLinePunct w:val="0"/>
              <w:bidi w:val="0"/>
              <w:spacing w:line="360" w:lineRule="auto"/>
              <w:rPr>
                <w:rFonts w:ascii="Times New Roman"/>
                <w:color w:val="000000"/>
                <w:sz w:val="2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710" w:type="dxa"/>
          </w:tcPr>
          <w:p>
            <w:pPr>
              <w:pStyle w:val="40"/>
              <w:pageBreakBefore w:val="0"/>
              <w:kinsoku/>
              <w:topLinePunct w:val="0"/>
              <w:bidi w:val="0"/>
              <w:spacing w:line="360" w:lineRule="auto"/>
              <w:rPr>
                <w:rFonts w:ascii="Times New Roman"/>
                <w:color w:val="000000"/>
                <w:sz w:val="26"/>
                <w:highlight w:val="none"/>
              </w:rPr>
            </w:pPr>
          </w:p>
        </w:tc>
        <w:tc>
          <w:tcPr>
            <w:tcW w:w="715" w:type="dxa"/>
          </w:tcPr>
          <w:p>
            <w:pPr>
              <w:pStyle w:val="40"/>
              <w:pageBreakBefore w:val="0"/>
              <w:kinsoku/>
              <w:topLinePunct w:val="0"/>
              <w:bidi w:val="0"/>
              <w:spacing w:line="360" w:lineRule="auto"/>
              <w:rPr>
                <w:rFonts w:ascii="Times New Roman"/>
                <w:color w:val="000000"/>
                <w:sz w:val="26"/>
                <w:highlight w:val="none"/>
              </w:rPr>
            </w:pPr>
          </w:p>
        </w:tc>
        <w:tc>
          <w:tcPr>
            <w:tcW w:w="710" w:type="dxa"/>
          </w:tcPr>
          <w:p>
            <w:pPr>
              <w:pStyle w:val="40"/>
              <w:pageBreakBefore w:val="0"/>
              <w:kinsoku/>
              <w:topLinePunct w:val="0"/>
              <w:bidi w:val="0"/>
              <w:spacing w:line="360" w:lineRule="auto"/>
              <w:rPr>
                <w:rFonts w:ascii="Times New Roman"/>
                <w:color w:val="000000"/>
                <w:sz w:val="26"/>
                <w:highlight w:val="none"/>
              </w:rPr>
            </w:pPr>
          </w:p>
        </w:tc>
        <w:tc>
          <w:tcPr>
            <w:tcW w:w="1137" w:type="dxa"/>
          </w:tcPr>
          <w:p>
            <w:pPr>
              <w:pStyle w:val="40"/>
              <w:pageBreakBefore w:val="0"/>
              <w:kinsoku/>
              <w:topLinePunct w:val="0"/>
              <w:bidi w:val="0"/>
              <w:spacing w:line="360" w:lineRule="auto"/>
              <w:rPr>
                <w:rFonts w:ascii="Times New Roman"/>
                <w:color w:val="000000"/>
                <w:sz w:val="26"/>
                <w:highlight w:val="none"/>
              </w:rPr>
            </w:pPr>
          </w:p>
        </w:tc>
        <w:tc>
          <w:tcPr>
            <w:tcW w:w="767" w:type="dxa"/>
          </w:tcPr>
          <w:p>
            <w:pPr>
              <w:pStyle w:val="40"/>
              <w:pageBreakBefore w:val="0"/>
              <w:kinsoku/>
              <w:topLinePunct w:val="0"/>
              <w:bidi w:val="0"/>
              <w:spacing w:line="360" w:lineRule="auto"/>
              <w:rPr>
                <w:rFonts w:ascii="Times New Roman"/>
                <w:color w:val="000000"/>
                <w:sz w:val="26"/>
                <w:highlight w:val="none"/>
              </w:rPr>
            </w:pPr>
          </w:p>
        </w:tc>
        <w:tc>
          <w:tcPr>
            <w:tcW w:w="791" w:type="dxa"/>
          </w:tcPr>
          <w:p>
            <w:pPr>
              <w:pStyle w:val="40"/>
              <w:pageBreakBefore w:val="0"/>
              <w:kinsoku/>
              <w:topLinePunct w:val="0"/>
              <w:bidi w:val="0"/>
              <w:spacing w:line="360" w:lineRule="auto"/>
              <w:rPr>
                <w:rFonts w:ascii="Times New Roman"/>
                <w:color w:val="000000"/>
                <w:sz w:val="26"/>
                <w:highlight w:val="none"/>
              </w:rPr>
            </w:pPr>
          </w:p>
        </w:tc>
        <w:tc>
          <w:tcPr>
            <w:tcW w:w="849" w:type="dxa"/>
          </w:tcPr>
          <w:p>
            <w:pPr>
              <w:pStyle w:val="40"/>
              <w:pageBreakBefore w:val="0"/>
              <w:kinsoku/>
              <w:topLinePunct w:val="0"/>
              <w:bidi w:val="0"/>
              <w:spacing w:line="360" w:lineRule="auto"/>
              <w:rPr>
                <w:rFonts w:ascii="Times New Roman"/>
                <w:color w:val="000000"/>
                <w:sz w:val="26"/>
                <w:highlight w:val="none"/>
              </w:rPr>
            </w:pPr>
          </w:p>
        </w:tc>
        <w:tc>
          <w:tcPr>
            <w:tcW w:w="2131" w:type="dxa"/>
          </w:tcPr>
          <w:p>
            <w:pPr>
              <w:pStyle w:val="40"/>
              <w:pageBreakBefore w:val="0"/>
              <w:kinsoku/>
              <w:topLinePunct w:val="0"/>
              <w:bidi w:val="0"/>
              <w:spacing w:line="360" w:lineRule="auto"/>
              <w:rPr>
                <w:rFonts w:ascii="Times New Roman"/>
                <w:color w:val="000000"/>
                <w:sz w:val="26"/>
                <w:highlight w:val="none"/>
              </w:rPr>
            </w:pPr>
          </w:p>
        </w:tc>
        <w:tc>
          <w:tcPr>
            <w:tcW w:w="710" w:type="dxa"/>
          </w:tcPr>
          <w:p>
            <w:pPr>
              <w:pStyle w:val="40"/>
              <w:pageBreakBefore w:val="0"/>
              <w:kinsoku/>
              <w:topLinePunct w:val="0"/>
              <w:bidi w:val="0"/>
              <w:spacing w:line="360" w:lineRule="auto"/>
              <w:rPr>
                <w:rFonts w:ascii="Times New Roman"/>
                <w:color w:val="000000"/>
                <w:sz w:val="2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710" w:type="dxa"/>
          </w:tcPr>
          <w:p>
            <w:pPr>
              <w:pStyle w:val="40"/>
              <w:pageBreakBefore w:val="0"/>
              <w:kinsoku/>
              <w:topLinePunct w:val="0"/>
              <w:bidi w:val="0"/>
              <w:spacing w:line="360" w:lineRule="auto"/>
              <w:rPr>
                <w:rFonts w:ascii="Times New Roman"/>
                <w:color w:val="000000"/>
                <w:sz w:val="26"/>
                <w:highlight w:val="none"/>
              </w:rPr>
            </w:pPr>
          </w:p>
        </w:tc>
        <w:tc>
          <w:tcPr>
            <w:tcW w:w="715" w:type="dxa"/>
          </w:tcPr>
          <w:p>
            <w:pPr>
              <w:pStyle w:val="40"/>
              <w:pageBreakBefore w:val="0"/>
              <w:kinsoku/>
              <w:topLinePunct w:val="0"/>
              <w:bidi w:val="0"/>
              <w:spacing w:line="360" w:lineRule="auto"/>
              <w:rPr>
                <w:rFonts w:ascii="Times New Roman"/>
                <w:color w:val="000000"/>
                <w:sz w:val="26"/>
                <w:highlight w:val="none"/>
              </w:rPr>
            </w:pPr>
          </w:p>
        </w:tc>
        <w:tc>
          <w:tcPr>
            <w:tcW w:w="710" w:type="dxa"/>
          </w:tcPr>
          <w:p>
            <w:pPr>
              <w:pStyle w:val="40"/>
              <w:pageBreakBefore w:val="0"/>
              <w:kinsoku/>
              <w:topLinePunct w:val="0"/>
              <w:bidi w:val="0"/>
              <w:spacing w:line="360" w:lineRule="auto"/>
              <w:rPr>
                <w:rFonts w:ascii="Times New Roman"/>
                <w:color w:val="000000"/>
                <w:sz w:val="26"/>
                <w:highlight w:val="none"/>
              </w:rPr>
            </w:pPr>
          </w:p>
        </w:tc>
        <w:tc>
          <w:tcPr>
            <w:tcW w:w="1137" w:type="dxa"/>
          </w:tcPr>
          <w:p>
            <w:pPr>
              <w:pStyle w:val="40"/>
              <w:pageBreakBefore w:val="0"/>
              <w:kinsoku/>
              <w:topLinePunct w:val="0"/>
              <w:bidi w:val="0"/>
              <w:spacing w:line="360" w:lineRule="auto"/>
              <w:rPr>
                <w:rFonts w:ascii="Times New Roman"/>
                <w:color w:val="000000"/>
                <w:sz w:val="26"/>
                <w:highlight w:val="none"/>
              </w:rPr>
            </w:pPr>
          </w:p>
        </w:tc>
        <w:tc>
          <w:tcPr>
            <w:tcW w:w="767" w:type="dxa"/>
          </w:tcPr>
          <w:p>
            <w:pPr>
              <w:pStyle w:val="40"/>
              <w:pageBreakBefore w:val="0"/>
              <w:kinsoku/>
              <w:topLinePunct w:val="0"/>
              <w:bidi w:val="0"/>
              <w:spacing w:line="360" w:lineRule="auto"/>
              <w:rPr>
                <w:rFonts w:ascii="Times New Roman"/>
                <w:color w:val="000000"/>
                <w:sz w:val="26"/>
                <w:highlight w:val="none"/>
              </w:rPr>
            </w:pPr>
          </w:p>
        </w:tc>
        <w:tc>
          <w:tcPr>
            <w:tcW w:w="791" w:type="dxa"/>
          </w:tcPr>
          <w:p>
            <w:pPr>
              <w:pStyle w:val="40"/>
              <w:pageBreakBefore w:val="0"/>
              <w:kinsoku/>
              <w:topLinePunct w:val="0"/>
              <w:bidi w:val="0"/>
              <w:spacing w:line="360" w:lineRule="auto"/>
              <w:rPr>
                <w:rFonts w:ascii="Times New Roman"/>
                <w:color w:val="000000"/>
                <w:sz w:val="26"/>
                <w:highlight w:val="none"/>
              </w:rPr>
            </w:pPr>
          </w:p>
        </w:tc>
        <w:tc>
          <w:tcPr>
            <w:tcW w:w="849" w:type="dxa"/>
          </w:tcPr>
          <w:p>
            <w:pPr>
              <w:pStyle w:val="40"/>
              <w:pageBreakBefore w:val="0"/>
              <w:kinsoku/>
              <w:topLinePunct w:val="0"/>
              <w:bidi w:val="0"/>
              <w:spacing w:line="360" w:lineRule="auto"/>
              <w:rPr>
                <w:rFonts w:ascii="Times New Roman"/>
                <w:color w:val="000000"/>
                <w:sz w:val="26"/>
                <w:highlight w:val="none"/>
              </w:rPr>
            </w:pPr>
          </w:p>
        </w:tc>
        <w:tc>
          <w:tcPr>
            <w:tcW w:w="2131" w:type="dxa"/>
          </w:tcPr>
          <w:p>
            <w:pPr>
              <w:pStyle w:val="40"/>
              <w:pageBreakBefore w:val="0"/>
              <w:kinsoku/>
              <w:topLinePunct w:val="0"/>
              <w:bidi w:val="0"/>
              <w:spacing w:line="360" w:lineRule="auto"/>
              <w:rPr>
                <w:rFonts w:ascii="Times New Roman"/>
                <w:color w:val="000000"/>
                <w:sz w:val="26"/>
                <w:highlight w:val="none"/>
              </w:rPr>
            </w:pPr>
          </w:p>
        </w:tc>
        <w:tc>
          <w:tcPr>
            <w:tcW w:w="710" w:type="dxa"/>
          </w:tcPr>
          <w:p>
            <w:pPr>
              <w:pStyle w:val="40"/>
              <w:pageBreakBefore w:val="0"/>
              <w:kinsoku/>
              <w:topLinePunct w:val="0"/>
              <w:bidi w:val="0"/>
              <w:spacing w:line="360" w:lineRule="auto"/>
              <w:rPr>
                <w:rFonts w:ascii="Times New Roman"/>
                <w:color w:val="000000"/>
                <w:sz w:val="2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710" w:type="dxa"/>
          </w:tcPr>
          <w:p>
            <w:pPr>
              <w:pStyle w:val="40"/>
              <w:pageBreakBefore w:val="0"/>
              <w:kinsoku/>
              <w:topLinePunct w:val="0"/>
              <w:bidi w:val="0"/>
              <w:spacing w:line="360" w:lineRule="auto"/>
              <w:rPr>
                <w:rFonts w:ascii="Times New Roman"/>
                <w:color w:val="000000"/>
                <w:sz w:val="26"/>
                <w:highlight w:val="none"/>
              </w:rPr>
            </w:pPr>
          </w:p>
        </w:tc>
        <w:tc>
          <w:tcPr>
            <w:tcW w:w="715" w:type="dxa"/>
          </w:tcPr>
          <w:p>
            <w:pPr>
              <w:pStyle w:val="40"/>
              <w:pageBreakBefore w:val="0"/>
              <w:kinsoku/>
              <w:topLinePunct w:val="0"/>
              <w:bidi w:val="0"/>
              <w:spacing w:line="360" w:lineRule="auto"/>
              <w:rPr>
                <w:rFonts w:ascii="Times New Roman"/>
                <w:color w:val="000000"/>
                <w:sz w:val="26"/>
                <w:highlight w:val="none"/>
              </w:rPr>
            </w:pPr>
          </w:p>
        </w:tc>
        <w:tc>
          <w:tcPr>
            <w:tcW w:w="710" w:type="dxa"/>
          </w:tcPr>
          <w:p>
            <w:pPr>
              <w:pStyle w:val="40"/>
              <w:pageBreakBefore w:val="0"/>
              <w:kinsoku/>
              <w:topLinePunct w:val="0"/>
              <w:bidi w:val="0"/>
              <w:spacing w:line="360" w:lineRule="auto"/>
              <w:rPr>
                <w:rFonts w:ascii="Times New Roman"/>
                <w:color w:val="000000"/>
                <w:sz w:val="26"/>
                <w:highlight w:val="none"/>
              </w:rPr>
            </w:pPr>
          </w:p>
        </w:tc>
        <w:tc>
          <w:tcPr>
            <w:tcW w:w="1137" w:type="dxa"/>
          </w:tcPr>
          <w:p>
            <w:pPr>
              <w:pStyle w:val="40"/>
              <w:pageBreakBefore w:val="0"/>
              <w:kinsoku/>
              <w:topLinePunct w:val="0"/>
              <w:bidi w:val="0"/>
              <w:spacing w:line="360" w:lineRule="auto"/>
              <w:rPr>
                <w:rFonts w:ascii="Times New Roman"/>
                <w:color w:val="000000"/>
                <w:sz w:val="26"/>
                <w:highlight w:val="none"/>
              </w:rPr>
            </w:pPr>
          </w:p>
        </w:tc>
        <w:tc>
          <w:tcPr>
            <w:tcW w:w="767" w:type="dxa"/>
          </w:tcPr>
          <w:p>
            <w:pPr>
              <w:pStyle w:val="40"/>
              <w:pageBreakBefore w:val="0"/>
              <w:kinsoku/>
              <w:topLinePunct w:val="0"/>
              <w:bidi w:val="0"/>
              <w:spacing w:line="360" w:lineRule="auto"/>
              <w:rPr>
                <w:rFonts w:ascii="Times New Roman"/>
                <w:color w:val="000000"/>
                <w:sz w:val="26"/>
                <w:highlight w:val="none"/>
              </w:rPr>
            </w:pPr>
          </w:p>
        </w:tc>
        <w:tc>
          <w:tcPr>
            <w:tcW w:w="791" w:type="dxa"/>
          </w:tcPr>
          <w:p>
            <w:pPr>
              <w:pStyle w:val="40"/>
              <w:pageBreakBefore w:val="0"/>
              <w:kinsoku/>
              <w:topLinePunct w:val="0"/>
              <w:bidi w:val="0"/>
              <w:spacing w:line="360" w:lineRule="auto"/>
              <w:rPr>
                <w:rFonts w:ascii="Times New Roman"/>
                <w:color w:val="000000"/>
                <w:sz w:val="26"/>
                <w:highlight w:val="none"/>
              </w:rPr>
            </w:pPr>
          </w:p>
        </w:tc>
        <w:tc>
          <w:tcPr>
            <w:tcW w:w="849" w:type="dxa"/>
          </w:tcPr>
          <w:p>
            <w:pPr>
              <w:pStyle w:val="40"/>
              <w:pageBreakBefore w:val="0"/>
              <w:kinsoku/>
              <w:topLinePunct w:val="0"/>
              <w:bidi w:val="0"/>
              <w:spacing w:line="360" w:lineRule="auto"/>
              <w:rPr>
                <w:rFonts w:ascii="Times New Roman"/>
                <w:color w:val="000000"/>
                <w:sz w:val="26"/>
                <w:highlight w:val="none"/>
              </w:rPr>
            </w:pPr>
          </w:p>
        </w:tc>
        <w:tc>
          <w:tcPr>
            <w:tcW w:w="2131" w:type="dxa"/>
          </w:tcPr>
          <w:p>
            <w:pPr>
              <w:pStyle w:val="40"/>
              <w:pageBreakBefore w:val="0"/>
              <w:kinsoku/>
              <w:topLinePunct w:val="0"/>
              <w:bidi w:val="0"/>
              <w:spacing w:line="360" w:lineRule="auto"/>
              <w:rPr>
                <w:rFonts w:ascii="Times New Roman"/>
                <w:color w:val="000000"/>
                <w:sz w:val="26"/>
                <w:highlight w:val="none"/>
              </w:rPr>
            </w:pPr>
          </w:p>
        </w:tc>
        <w:tc>
          <w:tcPr>
            <w:tcW w:w="710" w:type="dxa"/>
          </w:tcPr>
          <w:p>
            <w:pPr>
              <w:pStyle w:val="40"/>
              <w:pageBreakBefore w:val="0"/>
              <w:kinsoku/>
              <w:topLinePunct w:val="0"/>
              <w:bidi w:val="0"/>
              <w:spacing w:line="360" w:lineRule="auto"/>
              <w:rPr>
                <w:rFonts w:ascii="Times New Roman"/>
                <w:color w:val="000000"/>
                <w:sz w:val="2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710" w:type="dxa"/>
          </w:tcPr>
          <w:p>
            <w:pPr>
              <w:pStyle w:val="40"/>
              <w:pageBreakBefore w:val="0"/>
              <w:kinsoku/>
              <w:topLinePunct w:val="0"/>
              <w:bidi w:val="0"/>
              <w:spacing w:line="360" w:lineRule="auto"/>
              <w:rPr>
                <w:rFonts w:ascii="Times New Roman"/>
                <w:color w:val="000000"/>
                <w:sz w:val="26"/>
                <w:highlight w:val="none"/>
              </w:rPr>
            </w:pPr>
          </w:p>
        </w:tc>
        <w:tc>
          <w:tcPr>
            <w:tcW w:w="715" w:type="dxa"/>
          </w:tcPr>
          <w:p>
            <w:pPr>
              <w:pStyle w:val="40"/>
              <w:pageBreakBefore w:val="0"/>
              <w:kinsoku/>
              <w:topLinePunct w:val="0"/>
              <w:bidi w:val="0"/>
              <w:spacing w:line="360" w:lineRule="auto"/>
              <w:rPr>
                <w:rFonts w:ascii="Times New Roman"/>
                <w:color w:val="000000"/>
                <w:sz w:val="26"/>
                <w:highlight w:val="none"/>
              </w:rPr>
            </w:pPr>
          </w:p>
        </w:tc>
        <w:tc>
          <w:tcPr>
            <w:tcW w:w="710" w:type="dxa"/>
          </w:tcPr>
          <w:p>
            <w:pPr>
              <w:pStyle w:val="40"/>
              <w:pageBreakBefore w:val="0"/>
              <w:kinsoku/>
              <w:topLinePunct w:val="0"/>
              <w:bidi w:val="0"/>
              <w:spacing w:line="360" w:lineRule="auto"/>
              <w:rPr>
                <w:rFonts w:ascii="Times New Roman"/>
                <w:color w:val="000000"/>
                <w:sz w:val="26"/>
                <w:highlight w:val="none"/>
              </w:rPr>
            </w:pPr>
          </w:p>
        </w:tc>
        <w:tc>
          <w:tcPr>
            <w:tcW w:w="1137" w:type="dxa"/>
          </w:tcPr>
          <w:p>
            <w:pPr>
              <w:pStyle w:val="40"/>
              <w:pageBreakBefore w:val="0"/>
              <w:kinsoku/>
              <w:topLinePunct w:val="0"/>
              <w:bidi w:val="0"/>
              <w:spacing w:line="360" w:lineRule="auto"/>
              <w:rPr>
                <w:rFonts w:ascii="Times New Roman"/>
                <w:color w:val="000000"/>
                <w:sz w:val="26"/>
                <w:highlight w:val="none"/>
              </w:rPr>
            </w:pPr>
          </w:p>
        </w:tc>
        <w:tc>
          <w:tcPr>
            <w:tcW w:w="767" w:type="dxa"/>
          </w:tcPr>
          <w:p>
            <w:pPr>
              <w:pStyle w:val="40"/>
              <w:pageBreakBefore w:val="0"/>
              <w:kinsoku/>
              <w:topLinePunct w:val="0"/>
              <w:bidi w:val="0"/>
              <w:spacing w:line="360" w:lineRule="auto"/>
              <w:rPr>
                <w:rFonts w:ascii="Times New Roman"/>
                <w:color w:val="000000"/>
                <w:sz w:val="26"/>
                <w:highlight w:val="none"/>
              </w:rPr>
            </w:pPr>
          </w:p>
        </w:tc>
        <w:tc>
          <w:tcPr>
            <w:tcW w:w="791" w:type="dxa"/>
          </w:tcPr>
          <w:p>
            <w:pPr>
              <w:pStyle w:val="40"/>
              <w:pageBreakBefore w:val="0"/>
              <w:kinsoku/>
              <w:topLinePunct w:val="0"/>
              <w:bidi w:val="0"/>
              <w:spacing w:line="360" w:lineRule="auto"/>
              <w:rPr>
                <w:rFonts w:ascii="Times New Roman"/>
                <w:color w:val="000000"/>
                <w:sz w:val="26"/>
                <w:highlight w:val="none"/>
              </w:rPr>
            </w:pPr>
          </w:p>
        </w:tc>
        <w:tc>
          <w:tcPr>
            <w:tcW w:w="849" w:type="dxa"/>
          </w:tcPr>
          <w:p>
            <w:pPr>
              <w:pStyle w:val="40"/>
              <w:pageBreakBefore w:val="0"/>
              <w:kinsoku/>
              <w:topLinePunct w:val="0"/>
              <w:bidi w:val="0"/>
              <w:spacing w:line="360" w:lineRule="auto"/>
              <w:rPr>
                <w:rFonts w:ascii="Times New Roman"/>
                <w:color w:val="000000"/>
                <w:sz w:val="26"/>
                <w:highlight w:val="none"/>
              </w:rPr>
            </w:pPr>
          </w:p>
        </w:tc>
        <w:tc>
          <w:tcPr>
            <w:tcW w:w="2131" w:type="dxa"/>
          </w:tcPr>
          <w:p>
            <w:pPr>
              <w:pStyle w:val="40"/>
              <w:pageBreakBefore w:val="0"/>
              <w:kinsoku/>
              <w:topLinePunct w:val="0"/>
              <w:bidi w:val="0"/>
              <w:spacing w:line="360" w:lineRule="auto"/>
              <w:rPr>
                <w:rFonts w:ascii="Times New Roman"/>
                <w:color w:val="000000"/>
                <w:sz w:val="26"/>
                <w:highlight w:val="none"/>
              </w:rPr>
            </w:pPr>
          </w:p>
        </w:tc>
        <w:tc>
          <w:tcPr>
            <w:tcW w:w="710" w:type="dxa"/>
          </w:tcPr>
          <w:p>
            <w:pPr>
              <w:pStyle w:val="40"/>
              <w:pageBreakBefore w:val="0"/>
              <w:kinsoku/>
              <w:topLinePunct w:val="0"/>
              <w:bidi w:val="0"/>
              <w:spacing w:line="360" w:lineRule="auto"/>
              <w:rPr>
                <w:rFonts w:ascii="Times New Roman"/>
                <w:color w:val="000000"/>
                <w:sz w:val="2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710" w:type="dxa"/>
          </w:tcPr>
          <w:p>
            <w:pPr>
              <w:pStyle w:val="40"/>
              <w:pageBreakBefore w:val="0"/>
              <w:kinsoku/>
              <w:topLinePunct w:val="0"/>
              <w:bidi w:val="0"/>
              <w:spacing w:line="360" w:lineRule="auto"/>
              <w:rPr>
                <w:rFonts w:ascii="Times New Roman"/>
                <w:color w:val="000000"/>
                <w:sz w:val="26"/>
                <w:highlight w:val="none"/>
              </w:rPr>
            </w:pPr>
          </w:p>
        </w:tc>
        <w:tc>
          <w:tcPr>
            <w:tcW w:w="715" w:type="dxa"/>
          </w:tcPr>
          <w:p>
            <w:pPr>
              <w:pStyle w:val="40"/>
              <w:pageBreakBefore w:val="0"/>
              <w:kinsoku/>
              <w:topLinePunct w:val="0"/>
              <w:bidi w:val="0"/>
              <w:spacing w:line="360" w:lineRule="auto"/>
              <w:rPr>
                <w:rFonts w:ascii="Times New Roman"/>
                <w:color w:val="000000"/>
                <w:sz w:val="26"/>
                <w:highlight w:val="none"/>
              </w:rPr>
            </w:pPr>
          </w:p>
        </w:tc>
        <w:tc>
          <w:tcPr>
            <w:tcW w:w="710" w:type="dxa"/>
          </w:tcPr>
          <w:p>
            <w:pPr>
              <w:pStyle w:val="40"/>
              <w:pageBreakBefore w:val="0"/>
              <w:kinsoku/>
              <w:topLinePunct w:val="0"/>
              <w:bidi w:val="0"/>
              <w:spacing w:line="360" w:lineRule="auto"/>
              <w:rPr>
                <w:rFonts w:ascii="Times New Roman"/>
                <w:color w:val="000000"/>
                <w:sz w:val="26"/>
                <w:highlight w:val="none"/>
              </w:rPr>
            </w:pPr>
          </w:p>
        </w:tc>
        <w:tc>
          <w:tcPr>
            <w:tcW w:w="1137" w:type="dxa"/>
          </w:tcPr>
          <w:p>
            <w:pPr>
              <w:pStyle w:val="40"/>
              <w:pageBreakBefore w:val="0"/>
              <w:kinsoku/>
              <w:topLinePunct w:val="0"/>
              <w:bidi w:val="0"/>
              <w:spacing w:line="360" w:lineRule="auto"/>
              <w:rPr>
                <w:rFonts w:ascii="Times New Roman"/>
                <w:color w:val="000000"/>
                <w:sz w:val="26"/>
                <w:highlight w:val="none"/>
              </w:rPr>
            </w:pPr>
          </w:p>
        </w:tc>
        <w:tc>
          <w:tcPr>
            <w:tcW w:w="767" w:type="dxa"/>
          </w:tcPr>
          <w:p>
            <w:pPr>
              <w:pStyle w:val="40"/>
              <w:pageBreakBefore w:val="0"/>
              <w:kinsoku/>
              <w:topLinePunct w:val="0"/>
              <w:bidi w:val="0"/>
              <w:spacing w:line="360" w:lineRule="auto"/>
              <w:rPr>
                <w:rFonts w:ascii="Times New Roman"/>
                <w:color w:val="000000"/>
                <w:sz w:val="26"/>
                <w:highlight w:val="none"/>
              </w:rPr>
            </w:pPr>
          </w:p>
        </w:tc>
        <w:tc>
          <w:tcPr>
            <w:tcW w:w="791" w:type="dxa"/>
          </w:tcPr>
          <w:p>
            <w:pPr>
              <w:pStyle w:val="40"/>
              <w:pageBreakBefore w:val="0"/>
              <w:kinsoku/>
              <w:topLinePunct w:val="0"/>
              <w:bidi w:val="0"/>
              <w:spacing w:line="360" w:lineRule="auto"/>
              <w:rPr>
                <w:rFonts w:ascii="Times New Roman"/>
                <w:color w:val="000000"/>
                <w:sz w:val="26"/>
                <w:highlight w:val="none"/>
              </w:rPr>
            </w:pPr>
          </w:p>
        </w:tc>
        <w:tc>
          <w:tcPr>
            <w:tcW w:w="849" w:type="dxa"/>
          </w:tcPr>
          <w:p>
            <w:pPr>
              <w:pStyle w:val="40"/>
              <w:pageBreakBefore w:val="0"/>
              <w:kinsoku/>
              <w:topLinePunct w:val="0"/>
              <w:bidi w:val="0"/>
              <w:spacing w:line="360" w:lineRule="auto"/>
              <w:rPr>
                <w:rFonts w:ascii="Times New Roman"/>
                <w:color w:val="000000"/>
                <w:sz w:val="26"/>
                <w:highlight w:val="none"/>
              </w:rPr>
            </w:pPr>
          </w:p>
        </w:tc>
        <w:tc>
          <w:tcPr>
            <w:tcW w:w="2131" w:type="dxa"/>
          </w:tcPr>
          <w:p>
            <w:pPr>
              <w:pStyle w:val="40"/>
              <w:pageBreakBefore w:val="0"/>
              <w:kinsoku/>
              <w:topLinePunct w:val="0"/>
              <w:bidi w:val="0"/>
              <w:spacing w:line="360" w:lineRule="auto"/>
              <w:rPr>
                <w:rFonts w:ascii="Times New Roman"/>
                <w:color w:val="000000"/>
                <w:sz w:val="26"/>
                <w:highlight w:val="none"/>
              </w:rPr>
            </w:pPr>
          </w:p>
        </w:tc>
        <w:tc>
          <w:tcPr>
            <w:tcW w:w="710" w:type="dxa"/>
          </w:tcPr>
          <w:p>
            <w:pPr>
              <w:pStyle w:val="40"/>
              <w:pageBreakBefore w:val="0"/>
              <w:kinsoku/>
              <w:topLinePunct w:val="0"/>
              <w:bidi w:val="0"/>
              <w:spacing w:line="360" w:lineRule="auto"/>
              <w:rPr>
                <w:rFonts w:ascii="Times New Roman"/>
                <w:color w:val="000000"/>
                <w:sz w:val="26"/>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710" w:type="dxa"/>
          </w:tcPr>
          <w:p>
            <w:pPr>
              <w:pStyle w:val="40"/>
              <w:pageBreakBefore w:val="0"/>
              <w:kinsoku/>
              <w:topLinePunct w:val="0"/>
              <w:bidi w:val="0"/>
              <w:spacing w:line="360" w:lineRule="auto"/>
              <w:rPr>
                <w:rFonts w:ascii="Times New Roman"/>
                <w:color w:val="000000"/>
                <w:sz w:val="26"/>
                <w:highlight w:val="none"/>
              </w:rPr>
            </w:pPr>
          </w:p>
        </w:tc>
        <w:tc>
          <w:tcPr>
            <w:tcW w:w="715" w:type="dxa"/>
          </w:tcPr>
          <w:p>
            <w:pPr>
              <w:pStyle w:val="40"/>
              <w:pageBreakBefore w:val="0"/>
              <w:kinsoku/>
              <w:topLinePunct w:val="0"/>
              <w:bidi w:val="0"/>
              <w:spacing w:line="360" w:lineRule="auto"/>
              <w:rPr>
                <w:rFonts w:ascii="Times New Roman"/>
                <w:color w:val="000000"/>
                <w:sz w:val="26"/>
                <w:highlight w:val="none"/>
              </w:rPr>
            </w:pPr>
          </w:p>
        </w:tc>
        <w:tc>
          <w:tcPr>
            <w:tcW w:w="710" w:type="dxa"/>
          </w:tcPr>
          <w:p>
            <w:pPr>
              <w:pStyle w:val="40"/>
              <w:pageBreakBefore w:val="0"/>
              <w:kinsoku/>
              <w:topLinePunct w:val="0"/>
              <w:bidi w:val="0"/>
              <w:spacing w:line="360" w:lineRule="auto"/>
              <w:rPr>
                <w:rFonts w:ascii="Times New Roman"/>
                <w:color w:val="000000"/>
                <w:sz w:val="26"/>
                <w:highlight w:val="none"/>
              </w:rPr>
            </w:pPr>
          </w:p>
        </w:tc>
        <w:tc>
          <w:tcPr>
            <w:tcW w:w="1137" w:type="dxa"/>
          </w:tcPr>
          <w:p>
            <w:pPr>
              <w:pStyle w:val="40"/>
              <w:pageBreakBefore w:val="0"/>
              <w:kinsoku/>
              <w:topLinePunct w:val="0"/>
              <w:bidi w:val="0"/>
              <w:spacing w:line="360" w:lineRule="auto"/>
              <w:rPr>
                <w:rFonts w:ascii="Times New Roman"/>
                <w:color w:val="000000"/>
                <w:sz w:val="26"/>
                <w:highlight w:val="none"/>
              </w:rPr>
            </w:pPr>
          </w:p>
        </w:tc>
        <w:tc>
          <w:tcPr>
            <w:tcW w:w="767" w:type="dxa"/>
          </w:tcPr>
          <w:p>
            <w:pPr>
              <w:pStyle w:val="40"/>
              <w:pageBreakBefore w:val="0"/>
              <w:kinsoku/>
              <w:topLinePunct w:val="0"/>
              <w:bidi w:val="0"/>
              <w:spacing w:line="360" w:lineRule="auto"/>
              <w:rPr>
                <w:rFonts w:ascii="Times New Roman"/>
                <w:color w:val="000000"/>
                <w:sz w:val="26"/>
                <w:highlight w:val="none"/>
              </w:rPr>
            </w:pPr>
          </w:p>
        </w:tc>
        <w:tc>
          <w:tcPr>
            <w:tcW w:w="791" w:type="dxa"/>
          </w:tcPr>
          <w:p>
            <w:pPr>
              <w:pStyle w:val="40"/>
              <w:pageBreakBefore w:val="0"/>
              <w:kinsoku/>
              <w:topLinePunct w:val="0"/>
              <w:bidi w:val="0"/>
              <w:spacing w:line="360" w:lineRule="auto"/>
              <w:rPr>
                <w:rFonts w:ascii="Times New Roman"/>
                <w:color w:val="000000"/>
                <w:sz w:val="26"/>
                <w:highlight w:val="none"/>
              </w:rPr>
            </w:pPr>
          </w:p>
        </w:tc>
        <w:tc>
          <w:tcPr>
            <w:tcW w:w="849" w:type="dxa"/>
          </w:tcPr>
          <w:p>
            <w:pPr>
              <w:pStyle w:val="40"/>
              <w:pageBreakBefore w:val="0"/>
              <w:kinsoku/>
              <w:topLinePunct w:val="0"/>
              <w:bidi w:val="0"/>
              <w:spacing w:line="360" w:lineRule="auto"/>
              <w:rPr>
                <w:rFonts w:ascii="Times New Roman"/>
                <w:color w:val="000000"/>
                <w:sz w:val="26"/>
                <w:highlight w:val="none"/>
              </w:rPr>
            </w:pPr>
          </w:p>
        </w:tc>
        <w:tc>
          <w:tcPr>
            <w:tcW w:w="2131" w:type="dxa"/>
          </w:tcPr>
          <w:p>
            <w:pPr>
              <w:pStyle w:val="40"/>
              <w:pageBreakBefore w:val="0"/>
              <w:kinsoku/>
              <w:topLinePunct w:val="0"/>
              <w:bidi w:val="0"/>
              <w:spacing w:line="360" w:lineRule="auto"/>
              <w:rPr>
                <w:rFonts w:ascii="Times New Roman"/>
                <w:color w:val="000000"/>
                <w:sz w:val="26"/>
                <w:highlight w:val="none"/>
              </w:rPr>
            </w:pPr>
          </w:p>
        </w:tc>
        <w:tc>
          <w:tcPr>
            <w:tcW w:w="710" w:type="dxa"/>
          </w:tcPr>
          <w:p>
            <w:pPr>
              <w:pStyle w:val="40"/>
              <w:pageBreakBefore w:val="0"/>
              <w:kinsoku/>
              <w:topLinePunct w:val="0"/>
              <w:bidi w:val="0"/>
              <w:spacing w:line="360" w:lineRule="auto"/>
              <w:rPr>
                <w:rFonts w:ascii="Times New Roman"/>
                <w:color w:val="000000"/>
                <w:sz w:val="26"/>
                <w:highlight w:val="none"/>
              </w:rPr>
            </w:pPr>
          </w:p>
        </w:tc>
      </w:tr>
    </w:tbl>
    <w:p>
      <w:pPr>
        <w:pageBreakBefore w:val="0"/>
        <w:numPr>
          <w:ilvl w:val="0"/>
          <w:numId w:val="11"/>
        </w:numPr>
        <w:kinsoku/>
        <w:topLinePunct w:val="0"/>
        <w:bidi w:val="0"/>
        <w:snapToGrid w:val="0"/>
        <w:spacing w:line="360" w:lineRule="auto"/>
        <w:ind w:firstLine="420"/>
        <w:rPr>
          <w:color w:val="000000"/>
          <w:sz w:val="24"/>
          <w:highlight w:val="none"/>
        </w:rPr>
      </w:pPr>
      <w:r>
        <w:rPr>
          <w:rFonts w:hint="eastAsia"/>
          <w:color w:val="000000"/>
          <w:sz w:val="24"/>
          <w:highlight w:val="none"/>
        </w:rPr>
        <w:br w:type="page"/>
      </w:r>
      <w:r>
        <w:rPr>
          <w:color w:val="000000"/>
          <w:sz w:val="24"/>
          <w:highlight w:val="none"/>
        </w:rPr>
        <w:t>主要人员简历表</w:t>
      </w:r>
    </w:p>
    <w:p>
      <w:pPr>
        <w:pStyle w:val="8"/>
        <w:pageBreakBefore w:val="0"/>
        <w:kinsoku/>
        <w:topLinePunct w:val="0"/>
        <w:bidi w:val="0"/>
        <w:spacing w:before="188" w:line="360" w:lineRule="auto"/>
        <w:ind w:left="220"/>
        <w:rPr>
          <w:color w:val="000000"/>
          <w:highlight w:val="none"/>
        </w:rPr>
      </w:pPr>
      <w:r>
        <w:rPr>
          <w:color w:val="000000"/>
          <w:highlight w:val="none"/>
        </w:rPr>
        <w:t>附 1：项目负责人（项目经理）简历表</w:t>
      </w:r>
    </w:p>
    <w:p>
      <w:pPr>
        <w:pStyle w:val="8"/>
        <w:pageBreakBefore w:val="0"/>
        <w:kinsoku/>
        <w:topLinePunct w:val="0"/>
        <w:bidi w:val="0"/>
        <w:spacing w:before="4" w:line="360" w:lineRule="auto"/>
        <w:rPr>
          <w:color w:val="000000"/>
          <w:sz w:val="15"/>
          <w:highlight w:val="none"/>
        </w:rPr>
      </w:pPr>
    </w:p>
    <w:p>
      <w:pPr>
        <w:pageBreakBefore w:val="0"/>
        <w:kinsoku/>
        <w:topLinePunct w:val="0"/>
        <w:bidi w:val="0"/>
        <w:snapToGrid w:val="0"/>
        <w:spacing w:line="360" w:lineRule="auto"/>
        <w:ind w:firstLine="624" w:firstLineChars="300"/>
        <w:rPr>
          <w:color w:val="000000"/>
          <w:spacing w:val="-11"/>
          <w:highlight w:val="none"/>
        </w:rPr>
      </w:pPr>
      <w:r>
        <w:rPr>
          <w:color w:val="000000"/>
          <w:spacing w:val="-1"/>
          <w:highlight w:val="none"/>
        </w:rPr>
        <w:t>项目负责人</w:t>
      </w:r>
      <w:r>
        <w:rPr>
          <w:color w:val="000000"/>
          <w:highlight w:val="none"/>
        </w:rPr>
        <w:t>（</w:t>
      </w:r>
      <w:r>
        <w:rPr>
          <w:color w:val="000000"/>
          <w:spacing w:val="-2"/>
          <w:highlight w:val="none"/>
        </w:rPr>
        <w:t>项目经理</w:t>
      </w:r>
      <w:r>
        <w:rPr>
          <w:color w:val="000000"/>
          <w:highlight w:val="none"/>
        </w:rPr>
        <w:t>）</w:t>
      </w:r>
      <w:r>
        <w:rPr>
          <w:color w:val="000000"/>
          <w:spacing w:val="-6"/>
          <w:highlight w:val="none"/>
        </w:rPr>
        <w:t>应附建造师执业资格证书、注册证书、身份证、</w:t>
      </w:r>
      <w:r>
        <w:rPr>
          <w:color w:val="000000"/>
          <w:spacing w:val="-10"/>
          <w:highlight w:val="none"/>
        </w:rPr>
        <w:t>养老保险复印件及未担任其他在施建设工程项目项目经理的承诺书，管理过的项</w:t>
      </w:r>
      <w:r>
        <w:rPr>
          <w:color w:val="000000"/>
          <w:spacing w:val="-11"/>
          <w:highlight w:val="none"/>
        </w:rPr>
        <w:t>目业绩须附合同协议书和竣工验收备案登记表复印件。类似项目限于以项目经理身份参与的项目。</w:t>
      </w:r>
    </w:p>
    <w:tbl>
      <w:tblPr>
        <w:tblStyle w:val="18"/>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99"/>
        <w:gridCol w:w="1037"/>
        <w:gridCol w:w="1138"/>
        <w:gridCol w:w="1277"/>
        <w:gridCol w:w="1843"/>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1099" w:type="dxa"/>
          </w:tcPr>
          <w:p>
            <w:pPr>
              <w:pStyle w:val="40"/>
              <w:pageBreakBefore w:val="0"/>
              <w:tabs>
                <w:tab w:val="left" w:pos="436"/>
              </w:tabs>
              <w:kinsoku/>
              <w:topLinePunct w:val="0"/>
              <w:bidi w:val="0"/>
              <w:spacing w:before="106" w:line="360" w:lineRule="auto"/>
              <w:ind w:left="14"/>
              <w:jc w:val="center"/>
              <w:rPr>
                <w:color w:val="000000"/>
                <w:highlight w:val="none"/>
              </w:rPr>
            </w:pPr>
            <w:r>
              <w:rPr>
                <w:color w:val="000000"/>
                <w:highlight w:val="none"/>
              </w:rPr>
              <w:t>姓</w:t>
            </w:r>
            <w:r>
              <w:rPr>
                <w:color w:val="000000"/>
                <w:highlight w:val="none"/>
              </w:rPr>
              <w:tab/>
            </w:r>
            <w:r>
              <w:rPr>
                <w:color w:val="000000"/>
                <w:highlight w:val="none"/>
              </w:rPr>
              <w:t>名</w:t>
            </w:r>
          </w:p>
        </w:tc>
        <w:tc>
          <w:tcPr>
            <w:tcW w:w="1037" w:type="dxa"/>
          </w:tcPr>
          <w:p>
            <w:pPr>
              <w:pStyle w:val="40"/>
              <w:pageBreakBefore w:val="0"/>
              <w:kinsoku/>
              <w:topLinePunct w:val="0"/>
              <w:bidi w:val="0"/>
              <w:spacing w:line="360" w:lineRule="auto"/>
              <w:rPr>
                <w:rFonts w:ascii="Times New Roman"/>
                <w:color w:val="000000"/>
                <w:sz w:val="22"/>
                <w:highlight w:val="none"/>
              </w:rPr>
            </w:pPr>
          </w:p>
        </w:tc>
        <w:tc>
          <w:tcPr>
            <w:tcW w:w="1138" w:type="dxa"/>
          </w:tcPr>
          <w:p>
            <w:pPr>
              <w:pStyle w:val="40"/>
              <w:pageBreakBefore w:val="0"/>
              <w:tabs>
                <w:tab w:val="left" w:pos="426"/>
              </w:tabs>
              <w:kinsoku/>
              <w:topLinePunct w:val="0"/>
              <w:bidi w:val="0"/>
              <w:spacing w:before="106" w:line="360" w:lineRule="auto"/>
              <w:ind w:left="4"/>
              <w:jc w:val="center"/>
              <w:rPr>
                <w:color w:val="000000"/>
                <w:highlight w:val="none"/>
              </w:rPr>
            </w:pPr>
            <w:r>
              <w:rPr>
                <w:color w:val="000000"/>
                <w:highlight w:val="none"/>
              </w:rPr>
              <w:t>年</w:t>
            </w:r>
            <w:r>
              <w:rPr>
                <w:color w:val="000000"/>
                <w:highlight w:val="none"/>
              </w:rPr>
              <w:tab/>
            </w:r>
            <w:r>
              <w:rPr>
                <w:color w:val="000000"/>
                <w:highlight w:val="none"/>
              </w:rPr>
              <w:t>龄</w:t>
            </w:r>
          </w:p>
        </w:tc>
        <w:tc>
          <w:tcPr>
            <w:tcW w:w="1277" w:type="dxa"/>
          </w:tcPr>
          <w:p>
            <w:pPr>
              <w:pStyle w:val="40"/>
              <w:pageBreakBefore w:val="0"/>
              <w:kinsoku/>
              <w:topLinePunct w:val="0"/>
              <w:bidi w:val="0"/>
              <w:spacing w:line="360" w:lineRule="auto"/>
              <w:rPr>
                <w:rFonts w:ascii="Times New Roman"/>
                <w:color w:val="000000"/>
                <w:sz w:val="22"/>
                <w:highlight w:val="none"/>
              </w:rPr>
            </w:pPr>
          </w:p>
        </w:tc>
        <w:tc>
          <w:tcPr>
            <w:tcW w:w="1843" w:type="dxa"/>
          </w:tcPr>
          <w:p>
            <w:pPr>
              <w:pStyle w:val="40"/>
              <w:pageBreakBefore w:val="0"/>
              <w:kinsoku/>
              <w:topLinePunct w:val="0"/>
              <w:bidi w:val="0"/>
              <w:spacing w:before="106" w:line="360" w:lineRule="auto"/>
              <w:ind w:left="168" w:right="150"/>
              <w:jc w:val="center"/>
              <w:rPr>
                <w:color w:val="000000"/>
                <w:highlight w:val="none"/>
              </w:rPr>
            </w:pPr>
            <w:r>
              <w:rPr>
                <w:color w:val="000000"/>
                <w:highlight w:val="none"/>
              </w:rPr>
              <w:t>学历</w:t>
            </w:r>
          </w:p>
        </w:tc>
        <w:tc>
          <w:tcPr>
            <w:tcW w:w="2131" w:type="dxa"/>
          </w:tcPr>
          <w:p>
            <w:pPr>
              <w:pStyle w:val="40"/>
              <w:pageBreakBefore w:val="0"/>
              <w:kinsoku/>
              <w:topLinePunct w:val="0"/>
              <w:bidi w:val="0"/>
              <w:spacing w:line="360" w:lineRule="auto"/>
              <w:rPr>
                <w:rFonts w:ascii="Times New Roman"/>
                <w:color w:val="00000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5" w:hRule="atLeast"/>
        </w:trPr>
        <w:tc>
          <w:tcPr>
            <w:tcW w:w="1099" w:type="dxa"/>
          </w:tcPr>
          <w:p>
            <w:pPr>
              <w:pStyle w:val="40"/>
              <w:pageBreakBefore w:val="0"/>
              <w:kinsoku/>
              <w:topLinePunct w:val="0"/>
              <w:bidi w:val="0"/>
              <w:spacing w:before="3" w:line="360" w:lineRule="auto"/>
              <w:rPr>
                <w:color w:val="000000"/>
                <w:sz w:val="26"/>
                <w:highlight w:val="none"/>
              </w:rPr>
            </w:pPr>
          </w:p>
          <w:p>
            <w:pPr>
              <w:pStyle w:val="40"/>
              <w:pageBreakBefore w:val="0"/>
              <w:tabs>
                <w:tab w:val="left" w:pos="436"/>
              </w:tabs>
              <w:kinsoku/>
              <w:topLinePunct w:val="0"/>
              <w:bidi w:val="0"/>
              <w:spacing w:before="1" w:line="360" w:lineRule="auto"/>
              <w:ind w:left="14"/>
              <w:jc w:val="center"/>
              <w:rPr>
                <w:color w:val="000000"/>
                <w:highlight w:val="none"/>
              </w:rPr>
            </w:pPr>
            <w:r>
              <w:rPr>
                <w:color w:val="000000"/>
                <w:highlight w:val="none"/>
              </w:rPr>
              <w:t>职</w:t>
            </w:r>
            <w:r>
              <w:rPr>
                <w:color w:val="000000"/>
                <w:highlight w:val="none"/>
              </w:rPr>
              <w:tab/>
            </w:r>
            <w:r>
              <w:rPr>
                <w:color w:val="000000"/>
                <w:highlight w:val="none"/>
              </w:rPr>
              <w:t>称</w:t>
            </w:r>
          </w:p>
        </w:tc>
        <w:tc>
          <w:tcPr>
            <w:tcW w:w="1037" w:type="dxa"/>
          </w:tcPr>
          <w:p>
            <w:pPr>
              <w:pStyle w:val="40"/>
              <w:pageBreakBefore w:val="0"/>
              <w:kinsoku/>
              <w:topLinePunct w:val="0"/>
              <w:bidi w:val="0"/>
              <w:spacing w:line="360" w:lineRule="auto"/>
              <w:rPr>
                <w:rFonts w:ascii="Times New Roman"/>
                <w:color w:val="000000"/>
                <w:sz w:val="22"/>
                <w:highlight w:val="none"/>
              </w:rPr>
            </w:pPr>
          </w:p>
        </w:tc>
        <w:tc>
          <w:tcPr>
            <w:tcW w:w="1138" w:type="dxa"/>
          </w:tcPr>
          <w:p>
            <w:pPr>
              <w:pStyle w:val="40"/>
              <w:pageBreakBefore w:val="0"/>
              <w:kinsoku/>
              <w:topLinePunct w:val="0"/>
              <w:bidi w:val="0"/>
              <w:spacing w:before="3" w:line="360" w:lineRule="auto"/>
              <w:rPr>
                <w:color w:val="000000"/>
                <w:sz w:val="26"/>
                <w:highlight w:val="none"/>
              </w:rPr>
            </w:pPr>
          </w:p>
          <w:p>
            <w:pPr>
              <w:pStyle w:val="40"/>
              <w:pageBreakBefore w:val="0"/>
              <w:tabs>
                <w:tab w:val="left" w:pos="426"/>
              </w:tabs>
              <w:kinsoku/>
              <w:topLinePunct w:val="0"/>
              <w:bidi w:val="0"/>
              <w:spacing w:before="1" w:line="360" w:lineRule="auto"/>
              <w:ind w:left="4"/>
              <w:jc w:val="center"/>
              <w:rPr>
                <w:color w:val="000000"/>
                <w:highlight w:val="none"/>
              </w:rPr>
            </w:pPr>
            <w:r>
              <w:rPr>
                <w:color w:val="000000"/>
                <w:highlight w:val="none"/>
              </w:rPr>
              <w:t>职</w:t>
            </w:r>
            <w:r>
              <w:rPr>
                <w:color w:val="000000"/>
                <w:highlight w:val="none"/>
              </w:rPr>
              <w:tab/>
            </w:r>
            <w:r>
              <w:rPr>
                <w:color w:val="000000"/>
                <w:highlight w:val="none"/>
              </w:rPr>
              <w:t>务</w:t>
            </w:r>
          </w:p>
        </w:tc>
        <w:tc>
          <w:tcPr>
            <w:tcW w:w="1277" w:type="dxa"/>
          </w:tcPr>
          <w:p>
            <w:pPr>
              <w:pStyle w:val="40"/>
              <w:pageBreakBefore w:val="0"/>
              <w:kinsoku/>
              <w:topLinePunct w:val="0"/>
              <w:bidi w:val="0"/>
              <w:spacing w:line="360" w:lineRule="auto"/>
              <w:rPr>
                <w:rFonts w:ascii="Times New Roman"/>
                <w:color w:val="000000"/>
                <w:sz w:val="22"/>
                <w:highlight w:val="none"/>
              </w:rPr>
            </w:pPr>
          </w:p>
        </w:tc>
        <w:tc>
          <w:tcPr>
            <w:tcW w:w="1843" w:type="dxa"/>
          </w:tcPr>
          <w:p>
            <w:pPr>
              <w:pStyle w:val="40"/>
              <w:pageBreakBefore w:val="0"/>
              <w:kinsoku/>
              <w:topLinePunct w:val="0"/>
              <w:bidi w:val="0"/>
              <w:spacing w:before="3" w:line="360" w:lineRule="auto"/>
              <w:rPr>
                <w:color w:val="000000"/>
                <w:sz w:val="26"/>
                <w:highlight w:val="none"/>
              </w:rPr>
            </w:pPr>
          </w:p>
          <w:p>
            <w:pPr>
              <w:pStyle w:val="40"/>
              <w:pageBreakBefore w:val="0"/>
              <w:kinsoku/>
              <w:topLinePunct w:val="0"/>
              <w:bidi w:val="0"/>
              <w:spacing w:before="1" w:line="360" w:lineRule="auto"/>
              <w:ind w:left="168" w:right="155"/>
              <w:jc w:val="center"/>
              <w:rPr>
                <w:color w:val="000000"/>
                <w:highlight w:val="none"/>
              </w:rPr>
            </w:pPr>
            <w:r>
              <w:rPr>
                <w:color w:val="000000"/>
                <w:highlight w:val="none"/>
              </w:rPr>
              <w:t>拟在本工程任职</w:t>
            </w:r>
          </w:p>
        </w:tc>
        <w:tc>
          <w:tcPr>
            <w:tcW w:w="2131" w:type="dxa"/>
          </w:tcPr>
          <w:p>
            <w:pPr>
              <w:pStyle w:val="40"/>
              <w:pageBreakBefore w:val="0"/>
              <w:kinsoku/>
              <w:topLinePunct w:val="0"/>
              <w:bidi w:val="0"/>
              <w:spacing w:before="102" w:line="360" w:lineRule="auto"/>
              <w:ind w:left="102" w:right="89"/>
              <w:jc w:val="center"/>
              <w:rPr>
                <w:color w:val="000000"/>
                <w:highlight w:val="none"/>
              </w:rPr>
            </w:pPr>
            <w:r>
              <w:rPr>
                <w:color w:val="000000"/>
                <w:highlight w:val="none"/>
              </w:rPr>
              <w:t>项目负责人（项目经</w:t>
            </w:r>
          </w:p>
          <w:p>
            <w:pPr>
              <w:pStyle w:val="40"/>
              <w:pageBreakBefore w:val="0"/>
              <w:kinsoku/>
              <w:topLinePunct w:val="0"/>
              <w:bidi w:val="0"/>
              <w:spacing w:before="8" w:line="360" w:lineRule="auto"/>
              <w:rPr>
                <w:color w:val="000000"/>
                <w:sz w:val="15"/>
                <w:highlight w:val="none"/>
              </w:rPr>
            </w:pPr>
          </w:p>
          <w:p>
            <w:pPr>
              <w:pStyle w:val="40"/>
              <w:pageBreakBefore w:val="0"/>
              <w:kinsoku/>
              <w:topLinePunct w:val="0"/>
              <w:bidi w:val="0"/>
              <w:spacing w:before="1" w:line="360" w:lineRule="auto"/>
              <w:ind w:left="102" w:right="84"/>
              <w:jc w:val="center"/>
              <w:rPr>
                <w:color w:val="000000"/>
                <w:highlight w:val="none"/>
              </w:rPr>
            </w:pPr>
            <w:r>
              <w:rPr>
                <w:color w:val="000000"/>
                <w:highlight w:val="none"/>
              </w:rPr>
              <w:t>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3274" w:type="dxa"/>
            <w:gridSpan w:val="3"/>
          </w:tcPr>
          <w:p>
            <w:pPr>
              <w:pStyle w:val="40"/>
              <w:pageBreakBefore w:val="0"/>
              <w:kinsoku/>
              <w:topLinePunct w:val="0"/>
              <w:bidi w:val="0"/>
              <w:spacing w:before="102" w:line="360" w:lineRule="auto"/>
              <w:ind w:left="479"/>
              <w:rPr>
                <w:color w:val="000000"/>
                <w:highlight w:val="none"/>
              </w:rPr>
            </w:pPr>
            <w:r>
              <w:rPr>
                <w:color w:val="000000"/>
                <w:highlight w:val="none"/>
              </w:rPr>
              <w:t>注册建造师执业资格等级</w:t>
            </w:r>
          </w:p>
        </w:tc>
        <w:tc>
          <w:tcPr>
            <w:tcW w:w="1277" w:type="dxa"/>
          </w:tcPr>
          <w:p>
            <w:pPr>
              <w:pStyle w:val="40"/>
              <w:pageBreakBefore w:val="0"/>
              <w:kinsoku/>
              <w:topLinePunct w:val="0"/>
              <w:bidi w:val="0"/>
              <w:spacing w:before="102" w:line="360" w:lineRule="auto"/>
              <w:ind w:right="204"/>
              <w:jc w:val="right"/>
              <w:rPr>
                <w:color w:val="000000"/>
                <w:highlight w:val="none"/>
              </w:rPr>
            </w:pPr>
            <w:r>
              <w:rPr>
                <w:color w:val="000000"/>
                <w:highlight w:val="none"/>
              </w:rPr>
              <w:t>级</w:t>
            </w:r>
          </w:p>
        </w:tc>
        <w:tc>
          <w:tcPr>
            <w:tcW w:w="1843" w:type="dxa"/>
          </w:tcPr>
          <w:p>
            <w:pPr>
              <w:pStyle w:val="40"/>
              <w:pageBreakBefore w:val="0"/>
              <w:kinsoku/>
              <w:topLinePunct w:val="0"/>
              <w:bidi w:val="0"/>
              <w:spacing w:before="102" w:line="360" w:lineRule="auto"/>
              <w:ind w:left="168" w:right="151"/>
              <w:jc w:val="center"/>
              <w:rPr>
                <w:color w:val="000000"/>
                <w:highlight w:val="none"/>
              </w:rPr>
            </w:pPr>
            <w:r>
              <w:rPr>
                <w:color w:val="000000"/>
                <w:highlight w:val="none"/>
              </w:rPr>
              <w:t>建造师专业</w:t>
            </w:r>
          </w:p>
        </w:tc>
        <w:tc>
          <w:tcPr>
            <w:tcW w:w="2131" w:type="dxa"/>
          </w:tcPr>
          <w:p>
            <w:pPr>
              <w:pStyle w:val="40"/>
              <w:pageBreakBefore w:val="0"/>
              <w:kinsoku/>
              <w:topLinePunct w:val="0"/>
              <w:bidi w:val="0"/>
              <w:spacing w:line="360" w:lineRule="auto"/>
              <w:rPr>
                <w:rFonts w:ascii="Times New Roman"/>
                <w:color w:val="00000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1099" w:type="dxa"/>
          </w:tcPr>
          <w:p>
            <w:pPr>
              <w:pStyle w:val="40"/>
              <w:pageBreakBefore w:val="0"/>
              <w:kinsoku/>
              <w:topLinePunct w:val="0"/>
              <w:bidi w:val="0"/>
              <w:spacing w:before="102" w:line="360" w:lineRule="auto"/>
              <w:ind w:left="14"/>
              <w:jc w:val="center"/>
              <w:rPr>
                <w:color w:val="000000"/>
                <w:highlight w:val="none"/>
              </w:rPr>
            </w:pPr>
            <w:r>
              <w:rPr>
                <w:color w:val="000000"/>
                <w:highlight w:val="none"/>
              </w:rPr>
              <w:t>毕业学校</w:t>
            </w:r>
          </w:p>
        </w:tc>
        <w:tc>
          <w:tcPr>
            <w:tcW w:w="7426" w:type="dxa"/>
            <w:gridSpan w:val="5"/>
          </w:tcPr>
          <w:p>
            <w:pPr>
              <w:pStyle w:val="40"/>
              <w:pageBreakBefore w:val="0"/>
              <w:tabs>
                <w:tab w:val="left" w:pos="3676"/>
                <w:tab w:val="left" w:pos="5356"/>
              </w:tabs>
              <w:kinsoku/>
              <w:topLinePunct w:val="0"/>
              <w:bidi w:val="0"/>
              <w:spacing w:before="102" w:line="360" w:lineRule="auto"/>
              <w:ind w:left="945"/>
              <w:rPr>
                <w:color w:val="000000"/>
                <w:highlight w:val="none"/>
              </w:rPr>
            </w:pPr>
            <w:r>
              <w:rPr>
                <w:color w:val="000000"/>
                <w:highlight w:val="none"/>
              </w:rPr>
              <w:t>年毕业于</w:t>
            </w:r>
            <w:r>
              <w:rPr>
                <w:color w:val="000000"/>
                <w:highlight w:val="none"/>
              </w:rPr>
              <w:tab/>
            </w:r>
            <w:r>
              <w:rPr>
                <w:color w:val="000000"/>
                <w:highlight w:val="none"/>
              </w:rPr>
              <w:t>学校</w:t>
            </w:r>
            <w:r>
              <w:rPr>
                <w:color w:val="000000"/>
                <w:highlight w:val="none"/>
              </w:rPr>
              <w:tab/>
            </w:r>
            <w:r>
              <w:rPr>
                <w:color w:val="000000"/>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525" w:type="dxa"/>
            <w:gridSpan w:val="6"/>
          </w:tcPr>
          <w:p>
            <w:pPr>
              <w:pStyle w:val="40"/>
              <w:pageBreakBefore w:val="0"/>
              <w:kinsoku/>
              <w:topLinePunct w:val="0"/>
              <w:bidi w:val="0"/>
              <w:spacing w:before="101" w:line="360" w:lineRule="auto"/>
              <w:ind w:left="3614" w:right="3600"/>
              <w:jc w:val="center"/>
              <w:rPr>
                <w:color w:val="000000"/>
                <w:highlight w:val="none"/>
              </w:rPr>
            </w:pPr>
            <w:r>
              <w:rPr>
                <w:color w:val="000000"/>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1099" w:type="dxa"/>
          </w:tcPr>
          <w:p>
            <w:pPr>
              <w:pStyle w:val="40"/>
              <w:pageBreakBefore w:val="0"/>
              <w:tabs>
                <w:tab w:val="left" w:pos="436"/>
              </w:tabs>
              <w:kinsoku/>
              <w:topLinePunct w:val="0"/>
              <w:bidi w:val="0"/>
              <w:spacing w:before="101" w:line="360" w:lineRule="auto"/>
              <w:ind w:left="14"/>
              <w:jc w:val="center"/>
              <w:rPr>
                <w:color w:val="000000"/>
                <w:highlight w:val="none"/>
              </w:rPr>
            </w:pPr>
            <w:r>
              <w:rPr>
                <w:color w:val="000000"/>
                <w:highlight w:val="none"/>
              </w:rPr>
              <w:t>时</w:t>
            </w:r>
            <w:r>
              <w:rPr>
                <w:color w:val="000000"/>
                <w:highlight w:val="none"/>
              </w:rPr>
              <w:tab/>
            </w:r>
            <w:r>
              <w:rPr>
                <w:color w:val="000000"/>
                <w:highlight w:val="none"/>
              </w:rPr>
              <w:t>间</w:t>
            </w:r>
          </w:p>
        </w:tc>
        <w:tc>
          <w:tcPr>
            <w:tcW w:w="3452" w:type="dxa"/>
            <w:gridSpan w:val="3"/>
          </w:tcPr>
          <w:p>
            <w:pPr>
              <w:pStyle w:val="40"/>
              <w:pageBreakBefore w:val="0"/>
              <w:kinsoku/>
              <w:topLinePunct w:val="0"/>
              <w:bidi w:val="0"/>
              <w:spacing w:before="101" w:line="360" w:lineRule="auto"/>
              <w:ind w:left="671"/>
              <w:rPr>
                <w:color w:val="000000"/>
                <w:highlight w:val="none"/>
              </w:rPr>
            </w:pPr>
            <w:r>
              <w:rPr>
                <w:color w:val="000000"/>
                <w:highlight w:val="none"/>
              </w:rPr>
              <w:t>参加过的类似项目名称</w:t>
            </w:r>
          </w:p>
        </w:tc>
        <w:tc>
          <w:tcPr>
            <w:tcW w:w="1843" w:type="dxa"/>
          </w:tcPr>
          <w:p>
            <w:pPr>
              <w:pStyle w:val="40"/>
              <w:pageBreakBefore w:val="0"/>
              <w:kinsoku/>
              <w:topLinePunct w:val="0"/>
              <w:bidi w:val="0"/>
              <w:spacing w:before="101" w:line="360" w:lineRule="auto"/>
              <w:ind w:left="167" w:right="155"/>
              <w:jc w:val="center"/>
              <w:rPr>
                <w:color w:val="000000"/>
                <w:highlight w:val="none"/>
              </w:rPr>
            </w:pPr>
            <w:r>
              <w:rPr>
                <w:color w:val="000000"/>
                <w:highlight w:val="none"/>
              </w:rPr>
              <w:t>工程概况说明</w:t>
            </w:r>
          </w:p>
        </w:tc>
        <w:tc>
          <w:tcPr>
            <w:tcW w:w="2131" w:type="dxa"/>
          </w:tcPr>
          <w:p>
            <w:pPr>
              <w:pStyle w:val="40"/>
              <w:pageBreakBefore w:val="0"/>
              <w:kinsoku/>
              <w:topLinePunct w:val="0"/>
              <w:bidi w:val="0"/>
              <w:spacing w:before="101" w:line="360" w:lineRule="auto"/>
              <w:ind w:left="224"/>
              <w:rPr>
                <w:color w:val="000000"/>
                <w:highlight w:val="none"/>
              </w:rPr>
            </w:pPr>
            <w:r>
              <w:rPr>
                <w:color w:val="000000"/>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1" w:hRule="atLeast"/>
        </w:trPr>
        <w:tc>
          <w:tcPr>
            <w:tcW w:w="1099" w:type="dxa"/>
          </w:tcPr>
          <w:p>
            <w:pPr>
              <w:pStyle w:val="40"/>
              <w:pageBreakBefore w:val="0"/>
              <w:kinsoku/>
              <w:topLinePunct w:val="0"/>
              <w:bidi w:val="0"/>
              <w:spacing w:line="360" w:lineRule="auto"/>
              <w:rPr>
                <w:rFonts w:ascii="Times New Roman"/>
                <w:color w:val="000000"/>
                <w:sz w:val="22"/>
                <w:highlight w:val="none"/>
              </w:rPr>
            </w:pPr>
          </w:p>
        </w:tc>
        <w:tc>
          <w:tcPr>
            <w:tcW w:w="1037" w:type="dxa"/>
          </w:tcPr>
          <w:p>
            <w:pPr>
              <w:pStyle w:val="40"/>
              <w:pageBreakBefore w:val="0"/>
              <w:kinsoku/>
              <w:topLinePunct w:val="0"/>
              <w:bidi w:val="0"/>
              <w:spacing w:line="360" w:lineRule="auto"/>
              <w:rPr>
                <w:rFonts w:ascii="Times New Roman"/>
                <w:color w:val="000000"/>
                <w:sz w:val="22"/>
                <w:highlight w:val="none"/>
              </w:rPr>
            </w:pPr>
          </w:p>
        </w:tc>
        <w:tc>
          <w:tcPr>
            <w:tcW w:w="1138" w:type="dxa"/>
          </w:tcPr>
          <w:p>
            <w:pPr>
              <w:pStyle w:val="40"/>
              <w:pageBreakBefore w:val="0"/>
              <w:kinsoku/>
              <w:topLinePunct w:val="0"/>
              <w:bidi w:val="0"/>
              <w:spacing w:line="360" w:lineRule="auto"/>
              <w:rPr>
                <w:rFonts w:ascii="Times New Roman"/>
                <w:color w:val="000000"/>
                <w:sz w:val="22"/>
                <w:highlight w:val="none"/>
              </w:rPr>
            </w:pPr>
          </w:p>
        </w:tc>
        <w:tc>
          <w:tcPr>
            <w:tcW w:w="1277" w:type="dxa"/>
          </w:tcPr>
          <w:p>
            <w:pPr>
              <w:pStyle w:val="40"/>
              <w:pageBreakBefore w:val="0"/>
              <w:kinsoku/>
              <w:topLinePunct w:val="0"/>
              <w:bidi w:val="0"/>
              <w:spacing w:line="360" w:lineRule="auto"/>
              <w:rPr>
                <w:rFonts w:ascii="Times New Roman"/>
                <w:color w:val="000000"/>
                <w:sz w:val="22"/>
                <w:highlight w:val="none"/>
              </w:rPr>
            </w:pPr>
          </w:p>
        </w:tc>
        <w:tc>
          <w:tcPr>
            <w:tcW w:w="1843" w:type="dxa"/>
          </w:tcPr>
          <w:p>
            <w:pPr>
              <w:pStyle w:val="40"/>
              <w:pageBreakBefore w:val="0"/>
              <w:kinsoku/>
              <w:topLinePunct w:val="0"/>
              <w:bidi w:val="0"/>
              <w:spacing w:line="360" w:lineRule="auto"/>
              <w:rPr>
                <w:rFonts w:ascii="Times New Roman"/>
                <w:color w:val="000000"/>
                <w:sz w:val="22"/>
                <w:highlight w:val="none"/>
              </w:rPr>
            </w:pPr>
          </w:p>
        </w:tc>
        <w:tc>
          <w:tcPr>
            <w:tcW w:w="2131" w:type="dxa"/>
          </w:tcPr>
          <w:p>
            <w:pPr>
              <w:pStyle w:val="40"/>
              <w:pageBreakBefore w:val="0"/>
              <w:kinsoku/>
              <w:topLinePunct w:val="0"/>
              <w:bidi w:val="0"/>
              <w:spacing w:line="360" w:lineRule="auto"/>
              <w:rPr>
                <w:rFonts w:ascii="Times New Roman"/>
                <w:color w:val="00000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1" w:hRule="atLeast"/>
        </w:trPr>
        <w:tc>
          <w:tcPr>
            <w:tcW w:w="1099" w:type="dxa"/>
          </w:tcPr>
          <w:p>
            <w:pPr>
              <w:pStyle w:val="40"/>
              <w:pageBreakBefore w:val="0"/>
              <w:kinsoku/>
              <w:topLinePunct w:val="0"/>
              <w:bidi w:val="0"/>
              <w:spacing w:line="360" w:lineRule="auto"/>
              <w:rPr>
                <w:rFonts w:ascii="Times New Roman"/>
                <w:color w:val="000000"/>
                <w:sz w:val="22"/>
                <w:highlight w:val="none"/>
              </w:rPr>
            </w:pPr>
          </w:p>
        </w:tc>
        <w:tc>
          <w:tcPr>
            <w:tcW w:w="1037" w:type="dxa"/>
          </w:tcPr>
          <w:p>
            <w:pPr>
              <w:pStyle w:val="40"/>
              <w:pageBreakBefore w:val="0"/>
              <w:kinsoku/>
              <w:topLinePunct w:val="0"/>
              <w:bidi w:val="0"/>
              <w:spacing w:line="360" w:lineRule="auto"/>
              <w:rPr>
                <w:rFonts w:ascii="Times New Roman"/>
                <w:color w:val="000000"/>
                <w:sz w:val="22"/>
                <w:highlight w:val="none"/>
              </w:rPr>
            </w:pPr>
          </w:p>
        </w:tc>
        <w:tc>
          <w:tcPr>
            <w:tcW w:w="1138" w:type="dxa"/>
          </w:tcPr>
          <w:p>
            <w:pPr>
              <w:pStyle w:val="40"/>
              <w:pageBreakBefore w:val="0"/>
              <w:kinsoku/>
              <w:topLinePunct w:val="0"/>
              <w:bidi w:val="0"/>
              <w:spacing w:line="360" w:lineRule="auto"/>
              <w:rPr>
                <w:rFonts w:ascii="Times New Roman"/>
                <w:color w:val="000000"/>
                <w:sz w:val="22"/>
                <w:highlight w:val="none"/>
              </w:rPr>
            </w:pPr>
          </w:p>
        </w:tc>
        <w:tc>
          <w:tcPr>
            <w:tcW w:w="1277" w:type="dxa"/>
          </w:tcPr>
          <w:p>
            <w:pPr>
              <w:pStyle w:val="40"/>
              <w:pageBreakBefore w:val="0"/>
              <w:kinsoku/>
              <w:topLinePunct w:val="0"/>
              <w:bidi w:val="0"/>
              <w:spacing w:line="360" w:lineRule="auto"/>
              <w:rPr>
                <w:rFonts w:ascii="Times New Roman"/>
                <w:color w:val="000000"/>
                <w:sz w:val="22"/>
                <w:highlight w:val="none"/>
              </w:rPr>
            </w:pPr>
          </w:p>
        </w:tc>
        <w:tc>
          <w:tcPr>
            <w:tcW w:w="1843" w:type="dxa"/>
          </w:tcPr>
          <w:p>
            <w:pPr>
              <w:pStyle w:val="40"/>
              <w:pageBreakBefore w:val="0"/>
              <w:kinsoku/>
              <w:topLinePunct w:val="0"/>
              <w:bidi w:val="0"/>
              <w:spacing w:line="360" w:lineRule="auto"/>
              <w:rPr>
                <w:rFonts w:ascii="Times New Roman"/>
                <w:color w:val="000000"/>
                <w:sz w:val="22"/>
                <w:highlight w:val="none"/>
              </w:rPr>
            </w:pPr>
          </w:p>
        </w:tc>
        <w:tc>
          <w:tcPr>
            <w:tcW w:w="2131" w:type="dxa"/>
          </w:tcPr>
          <w:p>
            <w:pPr>
              <w:pStyle w:val="40"/>
              <w:pageBreakBefore w:val="0"/>
              <w:kinsoku/>
              <w:topLinePunct w:val="0"/>
              <w:bidi w:val="0"/>
              <w:spacing w:line="360" w:lineRule="auto"/>
              <w:rPr>
                <w:rFonts w:ascii="Times New Roman"/>
                <w:color w:val="00000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1" w:hRule="atLeast"/>
        </w:trPr>
        <w:tc>
          <w:tcPr>
            <w:tcW w:w="1099" w:type="dxa"/>
          </w:tcPr>
          <w:p>
            <w:pPr>
              <w:pStyle w:val="40"/>
              <w:pageBreakBefore w:val="0"/>
              <w:kinsoku/>
              <w:topLinePunct w:val="0"/>
              <w:bidi w:val="0"/>
              <w:spacing w:line="360" w:lineRule="auto"/>
              <w:rPr>
                <w:rFonts w:ascii="Times New Roman"/>
                <w:color w:val="000000"/>
                <w:sz w:val="22"/>
                <w:highlight w:val="none"/>
              </w:rPr>
            </w:pPr>
          </w:p>
        </w:tc>
        <w:tc>
          <w:tcPr>
            <w:tcW w:w="1037" w:type="dxa"/>
          </w:tcPr>
          <w:p>
            <w:pPr>
              <w:pStyle w:val="40"/>
              <w:pageBreakBefore w:val="0"/>
              <w:kinsoku/>
              <w:topLinePunct w:val="0"/>
              <w:bidi w:val="0"/>
              <w:spacing w:line="360" w:lineRule="auto"/>
              <w:rPr>
                <w:rFonts w:ascii="Times New Roman"/>
                <w:color w:val="000000"/>
                <w:sz w:val="22"/>
                <w:highlight w:val="none"/>
              </w:rPr>
            </w:pPr>
          </w:p>
        </w:tc>
        <w:tc>
          <w:tcPr>
            <w:tcW w:w="1138" w:type="dxa"/>
          </w:tcPr>
          <w:p>
            <w:pPr>
              <w:pStyle w:val="40"/>
              <w:pageBreakBefore w:val="0"/>
              <w:kinsoku/>
              <w:topLinePunct w:val="0"/>
              <w:bidi w:val="0"/>
              <w:spacing w:line="360" w:lineRule="auto"/>
              <w:rPr>
                <w:rFonts w:ascii="Times New Roman"/>
                <w:color w:val="000000"/>
                <w:sz w:val="22"/>
                <w:highlight w:val="none"/>
              </w:rPr>
            </w:pPr>
          </w:p>
        </w:tc>
        <w:tc>
          <w:tcPr>
            <w:tcW w:w="1277" w:type="dxa"/>
          </w:tcPr>
          <w:p>
            <w:pPr>
              <w:pStyle w:val="40"/>
              <w:pageBreakBefore w:val="0"/>
              <w:kinsoku/>
              <w:topLinePunct w:val="0"/>
              <w:bidi w:val="0"/>
              <w:spacing w:line="360" w:lineRule="auto"/>
              <w:rPr>
                <w:rFonts w:ascii="Times New Roman"/>
                <w:color w:val="000000"/>
                <w:sz w:val="22"/>
                <w:highlight w:val="none"/>
              </w:rPr>
            </w:pPr>
          </w:p>
        </w:tc>
        <w:tc>
          <w:tcPr>
            <w:tcW w:w="1843" w:type="dxa"/>
          </w:tcPr>
          <w:p>
            <w:pPr>
              <w:pStyle w:val="40"/>
              <w:pageBreakBefore w:val="0"/>
              <w:kinsoku/>
              <w:topLinePunct w:val="0"/>
              <w:bidi w:val="0"/>
              <w:spacing w:line="360" w:lineRule="auto"/>
              <w:rPr>
                <w:rFonts w:ascii="Times New Roman"/>
                <w:color w:val="000000"/>
                <w:sz w:val="22"/>
                <w:highlight w:val="none"/>
              </w:rPr>
            </w:pPr>
          </w:p>
        </w:tc>
        <w:tc>
          <w:tcPr>
            <w:tcW w:w="2131" w:type="dxa"/>
          </w:tcPr>
          <w:p>
            <w:pPr>
              <w:pStyle w:val="40"/>
              <w:pageBreakBefore w:val="0"/>
              <w:kinsoku/>
              <w:topLinePunct w:val="0"/>
              <w:bidi w:val="0"/>
              <w:spacing w:line="360" w:lineRule="auto"/>
              <w:rPr>
                <w:rFonts w:ascii="Times New Roman"/>
                <w:color w:val="00000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6" w:hRule="atLeast"/>
        </w:trPr>
        <w:tc>
          <w:tcPr>
            <w:tcW w:w="1099" w:type="dxa"/>
          </w:tcPr>
          <w:p>
            <w:pPr>
              <w:pStyle w:val="40"/>
              <w:pageBreakBefore w:val="0"/>
              <w:kinsoku/>
              <w:topLinePunct w:val="0"/>
              <w:bidi w:val="0"/>
              <w:spacing w:line="360" w:lineRule="auto"/>
              <w:rPr>
                <w:rFonts w:ascii="Times New Roman"/>
                <w:color w:val="000000"/>
                <w:sz w:val="22"/>
                <w:highlight w:val="none"/>
              </w:rPr>
            </w:pPr>
          </w:p>
        </w:tc>
        <w:tc>
          <w:tcPr>
            <w:tcW w:w="1037" w:type="dxa"/>
          </w:tcPr>
          <w:p>
            <w:pPr>
              <w:pStyle w:val="40"/>
              <w:pageBreakBefore w:val="0"/>
              <w:kinsoku/>
              <w:topLinePunct w:val="0"/>
              <w:bidi w:val="0"/>
              <w:spacing w:line="360" w:lineRule="auto"/>
              <w:rPr>
                <w:rFonts w:ascii="Times New Roman"/>
                <w:color w:val="000000"/>
                <w:sz w:val="22"/>
                <w:highlight w:val="none"/>
              </w:rPr>
            </w:pPr>
          </w:p>
        </w:tc>
        <w:tc>
          <w:tcPr>
            <w:tcW w:w="1138" w:type="dxa"/>
          </w:tcPr>
          <w:p>
            <w:pPr>
              <w:pStyle w:val="40"/>
              <w:pageBreakBefore w:val="0"/>
              <w:kinsoku/>
              <w:topLinePunct w:val="0"/>
              <w:bidi w:val="0"/>
              <w:spacing w:line="360" w:lineRule="auto"/>
              <w:rPr>
                <w:rFonts w:ascii="Times New Roman"/>
                <w:color w:val="000000"/>
                <w:sz w:val="22"/>
                <w:highlight w:val="none"/>
              </w:rPr>
            </w:pPr>
          </w:p>
        </w:tc>
        <w:tc>
          <w:tcPr>
            <w:tcW w:w="1277" w:type="dxa"/>
          </w:tcPr>
          <w:p>
            <w:pPr>
              <w:pStyle w:val="40"/>
              <w:pageBreakBefore w:val="0"/>
              <w:kinsoku/>
              <w:topLinePunct w:val="0"/>
              <w:bidi w:val="0"/>
              <w:spacing w:line="360" w:lineRule="auto"/>
              <w:rPr>
                <w:rFonts w:ascii="Times New Roman"/>
                <w:color w:val="000000"/>
                <w:sz w:val="22"/>
                <w:highlight w:val="none"/>
              </w:rPr>
            </w:pPr>
          </w:p>
        </w:tc>
        <w:tc>
          <w:tcPr>
            <w:tcW w:w="1843" w:type="dxa"/>
          </w:tcPr>
          <w:p>
            <w:pPr>
              <w:pStyle w:val="40"/>
              <w:pageBreakBefore w:val="0"/>
              <w:kinsoku/>
              <w:topLinePunct w:val="0"/>
              <w:bidi w:val="0"/>
              <w:spacing w:line="360" w:lineRule="auto"/>
              <w:rPr>
                <w:rFonts w:ascii="Times New Roman"/>
                <w:color w:val="000000"/>
                <w:sz w:val="22"/>
                <w:highlight w:val="none"/>
              </w:rPr>
            </w:pPr>
          </w:p>
        </w:tc>
        <w:tc>
          <w:tcPr>
            <w:tcW w:w="2131" w:type="dxa"/>
          </w:tcPr>
          <w:p>
            <w:pPr>
              <w:pStyle w:val="40"/>
              <w:pageBreakBefore w:val="0"/>
              <w:kinsoku/>
              <w:topLinePunct w:val="0"/>
              <w:bidi w:val="0"/>
              <w:spacing w:line="360" w:lineRule="auto"/>
              <w:rPr>
                <w:rFonts w:ascii="Times New Roman"/>
                <w:color w:val="00000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1" w:hRule="atLeast"/>
        </w:trPr>
        <w:tc>
          <w:tcPr>
            <w:tcW w:w="1099" w:type="dxa"/>
          </w:tcPr>
          <w:p>
            <w:pPr>
              <w:pStyle w:val="40"/>
              <w:pageBreakBefore w:val="0"/>
              <w:kinsoku/>
              <w:topLinePunct w:val="0"/>
              <w:bidi w:val="0"/>
              <w:spacing w:line="360" w:lineRule="auto"/>
              <w:rPr>
                <w:rFonts w:ascii="Times New Roman"/>
                <w:color w:val="000000"/>
                <w:sz w:val="22"/>
                <w:highlight w:val="none"/>
              </w:rPr>
            </w:pPr>
          </w:p>
        </w:tc>
        <w:tc>
          <w:tcPr>
            <w:tcW w:w="1037" w:type="dxa"/>
          </w:tcPr>
          <w:p>
            <w:pPr>
              <w:pStyle w:val="40"/>
              <w:pageBreakBefore w:val="0"/>
              <w:kinsoku/>
              <w:topLinePunct w:val="0"/>
              <w:bidi w:val="0"/>
              <w:spacing w:line="360" w:lineRule="auto"/>
              <w:rPr>
                <w:rFonts w:ascii="Times New Roman"/>
                <w:color w:val="000000"/>
                <w:sz w:val="22"/>
                <w:highlight w:val="none"/>
              </w:rPr>
            </w:pPr>
          </w:p>
        </w:tc>
        <w:tc>
          <w:tcPr>
            <w:tcW w:w="1138" w:type="dxa"/>
          </w:tcPr>
          <w:p>
            <w:pPr>
              <w:pStyle w:val="40"/>
              <w:pageBreakBefore w:val="0"/>
              <w:kinsoku/>
              <w:topLinePunct w:val="0"/>
              <w:bidi w:val="0"/>
              <w:spacing w:line="360" w:lineRule="auto"/>
              <w:rPr>
                <w:rFonts w:ascii="Times New Roman"/>
                <w:color w:val="000000"/>
                <w:sz w:val="22"/>
                <w:highlight w:val="none"/>
              </w:rPr>
            </w:pPr>
          </w:p>
        </w:tc>
        <w:tc>
          <w:tcPr>
            <w:tcW w:w="1277" w:type="dxa"/>
          </w:tcPr>
          <w:p>
            <w:pPr>
              <w:pStyle w:val="40"/>
              <w:pageBreakBefore w:val="0"/>
              <w:kinsoku/>
              <w:topLinePunct w:val="0"/>
              <w:bidi w:val="0"/>
              <w:spacing w:line="360" w:lineRule="auto"/>
              <w:rPr>
                <w:rFonts w:ascii="Times New Roman"/>
                <w:color w:val="000000"/>
                <w:sz w:val="22"/>
                <w:highlight w:val="none"/>
              </w:rPr>
            </w:pPr>
          </w:p>
        </w:tc>
        <w:tc>
          <w:tcPr>
            <w:tcW w:w="1843" w:type="dxa"/>
          </w:tcPr>
          <w:p>
            <w:pPr>
              <w:pStyle w:val="40"/>
              <w:pageBreakBefore w:val="0"/>
              <w:kinsoku/>
              <w:topLinePunct w:val="0"/>
              <w:bidi w:val="0"/>
              <w:spacing w:line="360" w:lineRule="auto"/>
              <w:rPr>
                <w:rFonts w:ascii="Times New Roman"/>
                <w:color w:val="000000"/>
                <w:sz w:val="22"/>
                <w:highlight w:val="none"/>
              </w:rPr>
            </w:pPr>
          </w:p>
        </w:tc>
        <w:tc>
          <w:tcPr>
            <w:tcW w:w="2131" w:type="dxa"/>
          </w:tcPr>
          <w:p>
            <w:pPr>
              <w:pStyle w:val="40"/>
              <w:pageBreakBefore w:val="0"/>
              <w:kinsoku/>
              <w:topLinePunct w:val="0"/>
              <w:bidi w:val="0"/>
              <w:spacing w:line="360" w:lineRule="auto"/>
              <w:rPr>
                <w:rFonts w:ascii="Times New Roman"/>
                <w:color w:val="00000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1" w:hRule="atLeast"/>
        </w:trPr>
        <w:tc>
          <w:tcPr>
            <w:tcW w:w="1099" w:type="dxa"/>
          </w:tcPr>
          <w:p>
            <w:pPr>
              <w:pStyle w:val="40"/>
              <w:pageBreakBefore w:val="0"/>
              <w:kinsoku/>
              <w:topLinePunct w:val="0"/>
              <w:bidi w:val="0"/>
              <w:spacing w:line="360" w:lineRule="auto"/>
              <w:rPr>
                <w:rFonts w:ascii="Times New Roman"/>
                <w:color w:val="000000"/>
                <w:sz w:val="22"/>
                <w:highlight w:val="none"/>
              </w:rPr>
            </w:pPr>
          </w:p>
        </w:tc>
        <w:tc>
          <w:tcPr>
            <w:tcW w:w="1037" w:type="dxa"/>
          </w:tcPr>
          <w:p>
            <w:pPr>
              <w:pStyle w:val="40"/>
              <w:pageBreakBefore w:val="0"/>
              <w:kinsoku/>
              <w:topLinePunct w:val="0"/>
              <w:bidi w:val="0"/>
              <w:spacing w:line="360" w:lineRule="auto"/>
              <w:rPr>
                <w:rFonts w:ascii="Times New Roman"/>
                <w:color w:val="000000"/>
                <w:sz w:val="22"/>
                <w:highlight w:val="none"/>
              </w:rPr>
            </w:pPr>
          </w:p>
        </w:tc>
        <w:tc>
          <w:tcPr>
            <w:tcW w:w="1138" w:type="dxa"/>
          </w:tcPr>
          <w:p>
            <w:pPr>
              <w:pStyle w:val="40"/>
              <w:pageBreakBefore w:val="0"/>
              <w:kinsoku/>
              <w:topLinePunct w:val="0"/>
              <w:bidi w:val="0"/>
              <w:spacing w:line="360" w:lineRule="auto"/>
              <w:rPr>
                <w:rFonts w:ascii="Times New Roman"/>
                <w:color w:val="000000"/>
                <w:sz w:val="22"/>
                <w:highlight w:val="none"/>
              </w:rPr>
            </w:pPr>
          </w:p>
        </w:tc>
        <w:tc>
          <w:tcPr>
            <w:tcW w:w="1277" w:type="dxa"/>
          </w:tcPr>
          <w:p>
            <w:pPr>
              <w:pStyle w:val="40"/>
              <w:pageBreakBefore w:val="0"/>
              <w:kinsoku/>
              <w:topLinePunct w:val="0"/>
              <w:bidi w:val="0"/>
              <w:spacing w:line="360" w:lineRule="auto"/>
              <w:rPr>
                <w:rFonts w:ascii="Times New Roman"/>
                <w:color w:val="000000"/>
                <w:sz w:val="22"/>
                <w:highlight w:val="none"/>
              </w:rPr>
            </w:pPr>
          </w:p>
        </w:tc>
        <w:tc>
          <w:tcPr>
            <w:tcW w:w="1843" w:type="dxa"/>
          </w:tcPr>
          <w:p>
            <w:pPr>
              <w:pStyle w:val="40"/>
              <w:pageBreakBefore w:val="0"/>
              <w:kinsoku/>
              <w:topLinePunct w:val="0"/>
              <w:bidi w:val="0"/>
              <w:spacing w:line="360" w:lineRule="auto"/>
              <w:rPr>
                <w:rFonts w:ascii="Times New Roman"/>
                <w:color w:val="000000"/>
                <w:sz w:val="22"/>
                <w:highlight w:val="none"/>
              </w:rPr>
            </w:pPr>
          </w:p>
        </w:tc>
        <w:tc>
          <w:tcPr>
            <w:tcW w:w="2131" w:type="dxa"/>
          </w:tcPr>
          <w:p>
            <w:pPr>
              <w:pStyle w:val="40"/>
              <w:pageBreakBefore w:val="0"/>
              <w:kinsoku/>
              <w:topLinePunct w:val="0"/>
              <w:bidi w:val="0"/>
              <w:spacing w:line="360" w:lineRule="auto"/>
              <w:rPr>
                <w:rFonts w:ascii="Times New Roman"/>
                <w:color w:val="00000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1" w:hRule="atLeast"/>
        </w:trPr>
        <w:tc>
          <w:tcPr>
            <w:tcW w:w="1099" w:type="dxa"/>
          </w:tcPr>
          <w:p>
            <w:pPr>
              <w:pStyle w:val="40"/>
              <w:pageBreakBefore w:val="0"/>
              <w:kinsoku/>
              <w:topLinePunct w:val="0"/>
              <w:bidi w:val="0"/>
              <w:spacing w:line="360" w:lineRule="auto"/>
              <w:rPr>
                <w:rFonts w:ascii="Times New Roman"/>
                <w:color w:val="000000"/>
                <w:sz w:val="22"/>
                <w:highlight w:val="none"/>
              </w:rPr>
            </w:pPr>
          </w:p>
        </w:tc>
        <w:tc>
          <w:tcPr>
            <w:tcW w:w="1037" w:type="dxa"/>
          </w:tcPr>
          <w:p>
            <w:pPr>
              <w:pStyle w:val="40"/>
              <w:pageBreakBefore w:val="0"/>
              <w:kinsoku/>
              <w:topLinePunct w:val="0"/>
              <w:bidi w:val="0"/>
              <w:spacing w:line="360" w:lineRule="auto"/>
              <w:rPr>
                <w:rFonts w:ascii="Times New Roman"/>
                <w:color w:val="000000"/>
                <w:sz w:val="22"/>
                <w:highlight w:val="none"/>
              </w:rPr>
            </w:pPr>
          </w:p>
        </w:tc>
        <w:tc>
          <w:tcPr>
            <w:tcW w:w="1138" w:type="dxa"/>
          </w:tcPr>
          <w:p>
            <w:pPr>
              <w:pStyle w:val="40"/>
              <w:pageBreakBefore w:val="0"/>
              <w:kinsoku/>
              <w:topLinePunct w:val="0"/>
              <w:bidi w:val="0"/>
              <w:spacing w:line="360" w:lineRule="auto"/>
              <w:rPr>
                <w:rFonts w:ascii="Times New Roman"/>
                <w:color w:val="000000"/>
                <w:sz w:val="22"/>
                <w:highlight w:val="none"/>
              </w:rPr>
            </w:pPr>
          </w:p>
        </w:tc>
        <w:tc>
          <w:tcPr>
            <w:tcW w:w="1277" w:type="dxa"/>
          </w:tcPr>
          <w:p>
            <w:pPr>
              <w:pStyle w:val="40"/>
              <w:pageBreakBefore w:val="0"/>
              <w:kinsoku/>
              <w:topLinePunct w:val="0"/>
              <w:bidi w:val="0"/>
              <w:spacing w:line="360" w:lineRule="auto"/>
              <w:rPr>
                <w:rFonts w:ascii="Times New Roman"/>
                <w:color w:val="000000"/>
                <w:sz w:val="22"/>
                <w:highlight w:val="none"/>
              </w:rPr>
            </w:pPr>
          </w:p>
        </w:tc>
        <w:tc>
          <w:tcPr>
            <w:tcW w:w="1843" w:type="dxa"/>
          </w:tcPr>
          <w:p>
            <w:pPr>
              <w:pStyle w:val="40"/>
              <w:pageBreakBefore w:val="0"/>
              <w:kinsoku/>
              <w:topLinePunct w:val="0"/>
              <w:bidi w:val="0"/>
              <w:spacing w:line="360" w:lineRule="auto"/>
              <w:rPr>
                <w:rFonts w:ascii="Times New Roman"/>
                <w:color w:val="000000"/>
                <w:sz w:val="22"/>
                <w:highlight w:val="none"/>
              </w:rPr>
            </w:pPr>
          </w:p>
        </w:tc>
        <w:tc>
          <w:tcPr>
            <w:tcW w:w="2131" w:type="dxa"/>
          </w:tcPr>
          <w:p>
            <w:pPr>
              <w:pStyle w:val="40"/>
              <w:pageBreakBefore w:val="0"/>
              <w:kinsoku/>
              <w:topLinePunct w:val="0"/>
              <w:bidi w:val="0"/>
              <w:spacing w:line="360" w:lineRule="auto"/>
              <w:rPr>
                <w:rFonts w:ascii="Times New Roman"/>
                <w:color w:val="00000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1" w:hRule="atLeast"/>
        </w:trPr>
        <w:tc>
          <w:tcPr>
            <w:tcW w:w="1099" w:type="dxa"/>
          </w:tcPr>
          <w:p>
            <w:pPr>
              <w:pStyle w:val="40"/>
              <w:pageBreakBefore w:val="0"/>
              <w:kinsoku/>
              <w:topLinePunct w:val="0"/>
              <w:bidi w:val="0"/>
              <w:spacing w:line="360" w:lineRule="auto"/>
              <w:rPr>
                <w:rFonts w:ascii="Times New Roman"/>
                <w:color w:val="000000"/>
                <w:sz w:val="22"/>
                <w:highlight w:val="none"/>
              </w:rPr>
            </w:pPr>
          </w:p>
        </w:tc>
        <w:tc>
          <w:tcPr>
            <w:tcW w:w="1037" w:type="dxa"/>
          </w:tcPr>
          <w:p>
            <w:pPr>
              <w:pStyle w:val="40"/>
              <w:pageBreakBefore w:val="0"/>
              <w:kinsoku/>
              <w:topLinePunct w:val="0"/>
              <w:bidi w:val="0"/>
              <w:spacing w:line="360" w:lineRule="auto"/>
              <w:rPr>
                <w:rFonts w:ascii="Times New Roman"/>
                <w:color w:val="000000"/>
                <w:sz w:val="22"/>
                <w:highlight w:val="none"/>
              </w:rPr>
            </w:pPr>
          </w:p>
        </w:tc>
        <w:tc>
          <w:tcPr>
            <w:tcW w:w="1138" w:type="dxa"/>
          </w:tcPr>
          <w:p>
            <w:pPr>
              <w:pStyle w:val="40"/>
              <w:pageBreakBefore w:val="0"/>
              <w:kinsoku/>
              <w:topLinePunct w:val="0"/>
              <w:bidi w:val="0"/>
              <w:spacing w:line="360" w:lineRule="auto"/>
              <w:rPr>
                <w:rFonts w:ascii="Times New Roman"/>
                <w:color w:val="000000"/>
                <w:sz w:val="22"/>
                <w:highlight w:val="none"/>
              </w:rPr>
            </w:pPr>
          </w:p>
        </w:tc>
        <w:tc>
          <w:tcPr>
            <w:tcW w:w="1277" w:type="dxa"/>
          </w:tcPr>
          <w:p>
            <w:pPr>
              <w:pStyle w:val="40"/>
              <w:pageBreakBefore w:val="0"/>
              <w:kinsoku/>
              <w:topLinePunct w:val="0"/>
              <w:bidi w:val="0"/>
              <w:spacing w:line="360" w:lineRule="auto"/>
              <w:rPr>
                <w:rFonts w:ascii="Times New Roman"/>
                <w:color w:val="000000"/>
                <w:sz w:val="22"/>
                <w:highlight w:val="none"/>
              </w:rPr>
            </w:pPr>
          </w:p>
        </w:tc>
        <w:tc>
          <w:tcPr>
            <w:tcW w:w="1843" w:type="dxa"/>
          </w:tcPr>
          <w:p>
            <w:pPr>
              <w:pStyle w:val="40"/>
              <w:pageBreakBefore w:val="0"/>
              <w:kinsoku/>
              <w:topLinePunct w:val="0"/>
              <w:bidi w:val="0"/>
              <w:spacing w:line="360" w:lineRule="auto"/>
              <w:rPr>
                <w:rFonts w:ascii="Times New Roman"/>
                <w:color w:val="000000"/>
                <w:sz w:val="22"/>
                <w:highlight w:val="none"/>
              </w:rPr>
            </w:pPr>
          </w:p>
        </w:tc>
        <w:tc>
          <w:tcPr>
            <w:tcW w:w="2131" w:type="dxa"/>
          </w:tcPr>
          <w:p>
            <w:pPr>
              <w:pStyle w:val="40"/>
              <w:pageBreakBefore w:val="0"/>
              <w:kinsoku/>
              <w:topLinePunct w:val="0"/>
              <w:bidi w:val="0"/>
              <w:spacing w:line="360" w:lineRule="auto"/>
              <w:rPr>
                <w:rFonts w:ascii="Times New Roman"/>
                <w:color w:val="000000"/>
                <w:sz w:val="22"/>
                <w:highlight w:val="none"/>
              </w:rPr>
            </w:pPr>
          </w:p>
        </w:tc>
      </w:tr>
    </w:tbl>
    <w:p>
      <w:pPr>
        <w:pStyle w:val="8"/>
        <w:pageBreakBefore w:val="0"/>
        <w:kinsoku/>
        <w:topLinePunct w:val="0"/>
        <w:bidi w:val="0"/>
        <w:spacing w:before="61" w:line="360" w:lineRule="auto"/>
        <w:ind w:left="220"/>
        <w:rPr>
          <w:color w:val="000000"/>
          <w:highlight w:val="none"/>
        </w:rPr>
      </w:pPr>
      <w:r>
        <w:rPr>
          <w:color w:val="000000"/>
          <w:spacing w:val="-11"/>
          <w:highlight w:val="none"/>
        </w:rPr>
        <w:br w:type="page"/>
      </w:r>
      <w:r>
        <w:rPr>
          <w:color w:val="000000"/>
          <w:highlight w:val="none"/>
        </w:rPr>
        <w:t>附 2：主要项目管理人员表</w:t>
      </w:r>
    </w:p>
    <w:p>
      <w:pPr>
        <w:pageBreakBefore w:val="0"/>
        <w:kinsoku/>
        <w:topLinePunct w:val="0"/>
        <w:bidi w:val="0"/>
        <w:snapToGrid w:val="0"/>
        <w:spacing w:line="360" w:lineRule="auto"/>
        <w:ind w:firstLine="534" w:firstLineChars="300"/>
        <w:rPr>
          <w:color w:val="000000"/>
          <w:spacing w:val="-2"/>
          <w:highlight w:val="none"/>
        </w:rPr>
      </w:pPr>
      <w:r>
        <w:rPr>
          <w:color w:val="000000"/>
          <w:spacing w:val="-16"/>
          <w:highlight w:val="none"/>
        </w:rPr>
        <w:t>主要项目管理人员指项目技术负责人、施工员、安全员、质量员、资料员、</w:t>
      </w:r>
      <w:r>
        <w:rPr>
          <w:rFonts w:hint="eastAsia"/>
          <w:color w:val="000000"/>
          <w:spacing w:val="-16"/>
          <w:highlight w:val="none"/>
          <w:lang w:eastAsia="zh-CN"/>
        </w:rPr>
        <w:t>机械员</w:t>
      </w:r>
      <w:r>
        <w:rPr>
          <w:color w:val="000000"/>
          <w:spacing w:val="-5"/>
          <w:highlight w:val="none"/>
        </w:rPr>
        <w:t>等岗位人员。应附</w:t>
      </w:r>
      <w:r>
        <w:rPr>
          <w:color w:val="000000"/>
          <w:spacing w:val="-10"/>
          <w:highlight w:val="none"/>
          <w:u w:val="single" w:color="000000"/>
        </w:rPr>
        <w:t>岗位证、身份证、养老保险复印件</w:t>
      </w:r>
      <w:r>
        <w:rPr>
          <w:color w:val="000000"/>
          <w:spacing w:val="-15"/>
          <w:highlight w:val="none"/>
        </w:rPr>
        <w:t>，主</w:t>
      </w:r>
      <w:r>
        <w:rPr>
          <w:color w:val="000000"/>
          <w:spacing w:val="-2"/>
          <w:highlight w:val="none"/>
        </w:rPr>
        <w:t>要业绩须附合同协议书。</w:t>
      </w:r>
    </w:p>
    <w:tbl>
      <w:tblPr>
        <w:tblStyle w:val="18"/>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1440"/>
        <w:gridCol w:w="2131"/>
        <w:gridCol w:w="691"/>
        <w:gridCol w:w="696"/>
        <w:gridCol w:w="28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trPr>
        <w:tc>
          <w:tcPr>
            <w:tcW w:w="2131" w:type="dxa"/>
            <w:gridSpan w:val="2"/>
          </w:tcPr>
          <w:p>
            <w:pPr>
              <w:pStyle w:val="40"/>
              <w:pageBreakBefore w:val="0"/>
              <w:kinsoku/>
              <w:topLinePunct w:val="0"/>
              <w:bidi w:val="0"/>
              <w:spacing w:before="101" w:line="360" w:lineRule="auto"/>
              <w:ind w:left="110"/>
              <w:rPr>
                <w:color w:val="000000"/>
                <w:highlight w:val="none"/>
              </w:rPr>
            </w:pPr>
            <w:r>
              <w:rPr>
                <w:color w:val="000000"/>
                <w:highlight w:val="none"/>
              </w:rPr>
              <w:t>岗位名称</w:t>
            </w:r>
          </w:p>
        </w:tc>
        <w:tc>
          <w:tcPr>
            <w:tcW w:w="6393" w:type="dxa"/>
            <w:gridSpan w:val="4"/>
          </w:tcPr>
          <w:p>
            <w:pPr>
              <w:pStyle w:val="40"/>
              <w:pageBreakBefore w:val="0"/>
              <w:kinsoku/>
              <w:topLinePunct w:val="0"/>
              <w:bidi w:val="0"/>
              <w:spacing w:line="360" w:lineRule="auto"/>
              <w:rPr>
                <w:rFonts w:ascii="Times New Roman"/>
                <w:color w:val="000000"/>
                <w:sz w:val="22"/>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691" w:type="dxa"/>
            <w:tcBorders>
              <w:right w:val="nil"/>
            </w:tcBorders>
          </w:tcPr>
          <w:p>
            <w:pPr>
              <w:pStyle w:val="40"/>
              <w:pageBreakBefore w:val="0"/>
              <w:kinsoku/>
              <w:topLinePunct w:val="0"/>
              <w:bidi w:val="0"/>
              <w:spacing w:before="101" w:line="360" w:lineRule="auto"/>
              <w:ind w:left="110"/>
              <w:rPr>
                <w:color w:val="000000"/>
                <w:highlight w:val="none"/>
              </w:rPr>
            </w:pPr>
            <w:r>
              <w:rPr>
                <w:color w:val="000000"/>
                <w:highlight w:val="none"/>
              </w:rPr>
              <w:t>姓</w:t>
            </w:r>
          </w:p>
        </w:tc>
        <w:tc>
          <w:tcPr>
            <w:tcW w:w="1440" w:type="dxa"/>
            <w:tcBorders>
              <w:left w:val="nil"/>
            </w:tcBorders>
          </w:tcPr>
          <w:p>
            <w:pPr>
              <w:pStyle w:val="40"/>
              <w:pageBreakBefore w:val="0"/>
              <w:kinsoku/>
              <w:topLinePunct w:val="0"/>
              <w:bidi w:val="0"/>
              <w:spacing w:before="101" w:line="360" w:lineRule="auto"/>
              <w:ind w:left="379"/>
              <w:rPr>
                <w:color w:val="000000"/>
                <w:highlight w:val="none"/>
              </w:rPr>
            </w:pPr>
            <w:r>
              <w:rPr>
                <w:color w:val="000000"/>
                <w:highlight w:val="none"/>
              </w:rPr>
              <w:t>名</w:t>
            </w:r>
          </w:p>
        </w:tc>
        <w:tc>
          <w:tcPr>
            <w:tcW w:w="2131" w:type="dxa"/>
          </w:tcPr>
          <w:p>
            <w:pPr>
              <w:pStyle w:val="40"/>
              <w:pageBreakBefore w:val="0"/>
              <w:kinsoku/>
              <w:topLinePunct w:val="0"/>
              <w:bidi w:val="0"/>
              <w:spacing w:line="360" w:lineRule="auto"/>
              <w:rPr>
                <w:rFonts w:ascii="Times New Roman"/>
                <w:color w:val="000000"/>
                <w:sz w:val="22"/>
                <w:highlight w:val="none"/>
              </w:rPr>
            </w:pPr>
          </w:p>
        </w:tc>
        <w:tc>
          <w:tcPr>
            <w:tcW w:w="691" w:type="dxa"/>
            <w:tcBorders>
              <w:right w:val="nil"/>
            </w:tcBorders>
          </w:tcPr>
          <w:p>
            <w:pPr>
              <w:pStyle w:val="40"/>
              <w:pageBreakBefore w:val="0"/>
              <w:kinsoku/>
              <w:topLinePunct w:val="0"/>
              <w:bidi w:val="0"/>
              <w:spacing w:before="101" w:line="360" w:lineRule="auto"/>
              <w:ind w:left="110"/>
              <w:rPr>
                <w:color w:val="000000"/>
                <w:highlight w:val="none"/>
              </w:rPr>
            </w:pPr>
            <w:r>
              <w:rPr>
                <w:color w:val="000000"/>
                <w:highlight w:val="none"/>
              </w:rPr>
              <w:t>年</w:t>
            </w:r>
          </w:p>
        </w:tc>
        <w:tc>
          <w:tcPr>
            <w:tcW w:w="696" w:type="dxa"/>
            <w:tcBorders>
              <w:left w:val="nil"/>
            </w:tcBorders>
          </w:tcPr>
          <w:p>
            <w:pPr>
              <w:pStyle w:val="40"/>
              <w:pageBreakBefore w:val="0"/>
              <w:kinsoku/>
              <w:topLinePunct w:val="0"/>
              <w:bidi w:val="0"/>
              <w:spacing w:before="101" w:line="360" w:lineRule="auto"/>
              <w:ind w:left="379"/>
              <w:rPr>
                <w:color w:val="000000"/>
                <w:highlight w:val="none"/>
              </w:rPr>
            </w:pPr>
            <w:r>
              <w:rPr>
                <w:color w:val="000000"/>
                <w:highlight w:val="none"/>
              </w:rPr>
              <w:t>龄</w:t>
            </w:r>
          </w:p>
        </w:tc>
        <w:tc>
          <w:tcPr>
            <w:tcW w:w="2875" w:type="dxa"/>
          </w:tcPr>
          <w:p>
            <w:pPr>
              <w:pStyle w:val="40"/>
              <w:pageBreakBefore w:val="0"/>
              <w:kinsoku/>
              <w:topLinePunct w:val="0"/>
              <w:bidi w:val="0"/>
              <w:spacing w:line="360" w:lineRule="auto"/>
              <w:rPr>
                <w:rFonts w:ascii="Times New Roman"/>
                <w:color w:val="000000"/>
                <w:sz w:val="22"/>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trPr>
        <w:tc>
          <w:tcPr>
            <w:tcW w:w="691" w:type="dxa"/>
            <w:tcBorders>
              <w:right w:val="nil"/>
            </w:tcBorders>
          </w:tcPr>
          <w:p>
            <w:pPr>
              <w:pStyle w:val="40"/>
              <w:pageBreakBefore w:val="0"/>
              <w:kinsoku/>
              <w:topLinePunct w:val="0"/>
              <w:bidi w:val="0"/>
              <w:spacing w:before="101" w:line="360" w:lineRule="auto"/>
              <w:ind w:left="110"/>
              <w:rPr>
                <w:color w:val="000000"/>
                <w:highlight w:val="none"/>
              </w:rPr>
            </w:pPr>
            <w:r>
              <w:rPr>
                <w:color w:val="000000"/>
                <w:highlight w:val="none"/>
              </w:rPr>
              <w:t>性</w:t>
            </w:r>
          </w:p>
        </w:tc>
        <w:tc>
          <w:tcPr>
            <w:tcW w:w="1440" w:type="dxa"/>
            <w:tcBorders>
              <w:left w:val="nil"/>
            </w:tcBorders>
          </w:tcPr>
          <w:p>
            <w:pPr>
              <w:pStyle w:val="40"/>
              <w:pageBreakBefore w:val="0"/>
              <w:kinsoku/>
              <w:topLinePunct w:val="0"/>
              <w:bidi w:val="0"/>
              <w:spacing w:before="101" w:line="360" w:lineRule="auto"/>
              <w:ind w:left="379"/>
              <w:rPr>
                <w:color w:val="000000"/>
                <w:highlight w:val="none"/>
              </w:rPr>
            </w:pPr>
            <w:r>
              <w:rPr>
                <w:color w:val="000000"/>
                <w:highlight w:val="none"/>
              </w:rPr>
              <w:t>别</w:t>
            </w:r>
          </w:p>
        </w:tc>
        <w:tc>
          <w:tcPr>
            <w:tcW w:w="2131" w:type="dxa"/>
          </w:tcPr>
          <w:p>
            <w:pPr>
              <w:pStyle w:val="40"/>
              <w:pageBreakBefore w:val="0"/>
              <w:kinsoku/>
              <w:topLinePunct w:val="0"/>
              <w:bidi w:val="0"/>
              <w:spacing w:line="360" w:lineRule="auto"/>
              <w:rPr>
                <w:rFonts w:ascii="Times New Roman"/>
                <w:color w:val="000000"/>
                <w:sz w:val="22"/>
                <w:highlight w:val="none"/>
              </w:rPr>
            </w:pPr>
          </w:p>
        </w:tc>
        <w:tc>
          <w:tcPr>
            <w:tcW w:w="1387" w:type="dxa"/>
            <w:gridSpan w:val="2"/>
          </w:tcPr>
          <w:p>
            <w:pPr>
              <w:pStyle w:val="40"/>
              <w:pageBreakBefore w:val="0"/>
              <w:kinsoku/>
              <w:topLinePunct w:val="0"/>
              <w:bidi w:val="0"/>
              <w:spacing w:before="101" w:line="360" w:lineRule="auto"/>
              <w:ind w:left="110"/>
              <w:rPr>
                <w:color w:val="000000"/>
                <w:highlight w:val="none"/>
              </w:rPr>
            </w:pPr>
            <w:r>
              <w:rPr>
                <w:color w:val="000000"/>
                <w:highlight w:val="none"/>
              </w:rPr>
              <w:t>毕业学校</w:t>
            </w:r>
          </w:p>
        </w:tc>
        <w:tc>
          <w:tcPr>
            <w:tcW w:w="2875" w:type="dxa"/>
          </w:tcPr>
          <w:p>
            <w:pPr>
              <w:pStyle w:val="40"/>
              <w:pageBreakBefore w:val="0"/>
              <w:kinsoku/>
              <w:topLinePunct w:val="0"/>
              <w:bidi w:val="0"/>
              <w:spacing w:line="360" w:lineRule="auto"/>
              <w:rPr>
                <w:rFonts w:ascii="Times New Roman"/>
                <w:color w:val="000000"/>
                <w:sz w:val="22"/>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trPr>
        <w:tc>
          <w:tcPr>
            <w:tcW w:w="2131" w:type="dxa"/>
            <w:gridSpan w:val="2"/>
          </w:tcPr>
          <w:p>
            <w:pPr>
              <w:pStyle w:val="40"/>
              <w:pageBreakBefore w:val="0"/>
              <w:kinsoku/>
              <w:topLinePunct w:val="0"/>
              <w:bidi w:val="0"/>
              <w:spacing w:before="101" w:line="360" w:lineRule="auto"/>
              <w:ind w:left="110"/>
              <w:rPr>
                <w:color w:val="000000"/>
                <w:highlight w:val="none"/>
              </w:rPr>
            </w:pPr>
            <w:r>
              <w:rPr>
                <w:color w:val="000000"/>
                <w:highlight w:val="none"/>
              </w:rPr>
              <w:t>学历和专业</w:t>
            </w:r>
          </w:p>
        </w:tc>
        <w:tc>
          <w:tcPr>
            <w:tcW w:w="2131" w:type="dxa"/>
          </w:tcPr>
          <w:p>
            <w:pPr>
              <w:pStyle w:val="40"/>
              <w:pageBreakBefore w:val="0"/>
              <w:kinsoku/>
              <w:topLinePunct w:val="0"/>
              <w:bidi w:val="0"/>
              <w:spacing w:line="360" w:lineRule="auto"/>
              <w:rPr>
                <w:rFonts w:ascii="Times New Roman"/>
                <w:color w:val="000000"/>
                <w:sz w:val="22"/>
                <w:highlight w:val="none"/>
              </w:rPr>
            </w:pPr>
          </w:p>
        </w:tc>
        <w:tc>
          <w:tcPr>
            <w:tcW w:w="1387" w:type="dxa"/>
            <w:gridSpan w:val="2"/>
          </w:tcPr>
          <w:p>
            <w:pPr>
              <w:pStyle w:val="40"/>
              <w:pageBreakBefore w:val="0"/>
              <w:kinsoku/>
              <w:topLinePunct w:val="0"/>
              <w:bidi w:val="0"/>
              <w:spacing w:before="101" w:line="360" w:lineRule="auto"/>
              <w:ind w:left="110"/>
              <w:rPr>
                <w:color w:val="000000"/>
                <w:highlight w:val="none"/>
              </w:rPr>
            </w:pPr>
            <w:r>
              <w:rPr>
                <w:color w:val="000000"/>
                <w:highlight w:val="none"/>
              </w:rPr>
              <w:t>毕业时间</w:t>
            </w:r>
          </w:p>
        </w:tc>
        <w:tc>
          <w:tcPr>
            <w:tcW w:w="2875" w:type="dxa"/>
          </w:tcPr>
          <w:p>
            <w:pPr>
              <w:pStyle w:val="40"/>
              <w:pageBreakBefore w:val="0"/>
              <w:kinsoku/>
              <w:topLinePunct w:val="0"/>
              <w:bidi w:val="0"/>
              <w:spacing w:line="360" w:lineRule="auto"/>
              <w:rPr>
                <w:rFonts w:ascii="Times New Roman"/>
                <w:color w:val="000000"/>
                <w:sz w:val="22"/>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2131" w:type="dxa"/>
            <w:gridSpan w:val="2"/>
          </w:tcPr>
          <w:p>
            <w:pPr>
              <w:pStyle w:val="40"/>
              <w:pageBreakBefore w:val="0"/>
              <w:kinsoku/>
              <w:topLinePunct w:val="0"/>
              <w:bidi w:val="0"/>
              <w:spacing w:before="101" w:line="360" w:lineRule="auto"/>
              <w:ind w:left="110"/>
              <w:rPr>
                <w:color w:val="000000"/>
                <w:highlight w:val="none"/>
              </w:rPr>
            </w:pPr>
            <w:r>
              <w:rPr>
                <w:color w:val="000000"/>
                <w:highlight w:val="none"/>
              </w:rPr>
              <w:t>拥有的执业资格</w:t>
            </w:r>
          </w:p>
        </w:tc>
        <w:tc>
          <w:tcPr>
            <w:tcW w:w="2131" w:type="dxa"/>
          </w:tcPr>
          <w:p>
            <w:pPr>
              <w:pStyle w:val="40"/>
              <w:pageBreakBefore w:val="0"/>
              <w:kinsoku/>
              <w:topLinePunct w:val="0"/>
              <w:bidi w:val="0"/>
              <w:spacing w:line="360" w:lineRule="auto"/>
              <w:rPr>
                <w:rFonts w:ascii="Times New Roman"/>
                <w:color w:val="000000"/>
                <w:sz w:val="22"/>
                <w:highlight w:val="none"/>
              </w:rPr>
            </w:pPr>
          </w:p>
        </w:tc>
        <w:tc>
          <w:tcPr>
            <w:tcW w:w="1387" w:type="dxa"/>
            <w:gridSpan w:val="2"/>
          </w:tcPr>
          <w:p>
            <w:pPr>
              <w:pStyle w:val="40"/>
              <w:pageBreakBefore w:val="0"/>
              <w:kinsoku/>
              <w:topLinePunct w:val="0"/>
              <w:bidi w:val="0"/>
              <w:spacing w:before="101" w:line="360" w:lineRule="auto"/>
              <w:ind w:left="110"/>
              <w:rPr>
                <w:color w:val="000000"/>
                <w:highlight w:val="none"/>
              </w:rPr>
            </w:pPr>
            <w:r>
              <w:rPr>
                <w:color w:val="000000"/>
                <w:highlight w:val="none"/>
              </w:rPr>
              <w:t>专业职称</w:t>
            </w:r>
          </w:p>
        </w:tc>
        <w:tc>
          <w:tcPr>
            <w:tcW w:w="2875" w:type="dxa"/>
          </w:tcPr>
          <w:p>
            <w:pPr>
              <w:pStyle w:val="40"/>
              <w:pageBreakBefore w:val="0"/>
              <w:kinsoku/>
              <w:topLinePunct w:val="0"/>
              <w:bidi w:val="0"/>
              <w:spacing w:line="360" w:lineRule="auto"/>
              <w:rPr>
                <w:rFonts w:ascii="Times New Roman"/>
                <w:color w:val="000000"/>
                <w:sz w:val="22"/>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trPr>
        <w:tc>
          <w:tcPr>
            <w:tcW w:w="2131" w:type="dxa"/>
            <w:gridSpan w:val="2"/>
          </w:tcPr>
          <w:p>
            <w:pPr>
              <w:pStyle w:val="40"/>
              <w:pageBreakBefore w:val="0"/>
              <w:kinsoku/>
              <w:topLinePunct w:val="0"/>
              <w:bidi w:val="0"/>
              <w:spacing w:before="101" w:line="360" w:lineRule="auto"/>
              <w:ind w:left="110"/>
              <w:rPr>
                <w:color w:val="000000"/>
                <w:highlight w:val="none"/>
              </w:rPr>
            </w:pPr>
            <w:r>
              <w:rPr>
                <w:color w:val="000000"/>
                <w:highlight w:val="none"/>
              </w:rPr>
              <w:t>执业资格证书编号</w:t>
            </w:r>
          </w:p>
        </w:tc>
        <w:tc>
          <w:tcPr>
            <w:tcW w:w="2131" w:type="dxa"/>
          </w:tcPr>
          <w:p>
            <w:pPr>
              <w:pStyle w:val="40"/>
              <w:pageBreakBefore w:val="0"/>
              <w:kinsoku/>
              <w:topLinePunct w:val="0"/>
              <w:bidi w:val="0"/>
              <w:spacing w:line="360" w:lineRule="auto"/>
              <w:rPr>
                <w:rFonts w:ascii="Times New Roman"/>
                <w:color w:val="000000"/>
                <w:sz w:val="22"/>
                <w:highlight w:val="none"/>
              </w:rPr>
            </w:pPr>
          </w:p>
        </w:tc>
        <w:tc>
          <w:tcPr>
            <w:tcW w:w="1387" w:type="dxa"/>
            <w:gridSpan w:val="2"/>
          </w:tcPr>
          <w:p>
            <w:pPr>
              <w:pStyle w:val="40"/>
              <w:pageBreakBefore w:val="0"/>
              <w:kinsoku/>
              <w:topLinePunct w:val="0"/>
              <w:bidi w:val="0"/>
              <w:spacing w:before="101" w:line="360" w:lineRule="auto"/>
              <w:ind w:left="110"/>
              <w:rPr>
                <w:color w:val="000000"/>
                <w:highlight w:val="none"/>
              </w:rPr>
            </w:pPr>
            <w:r>
              <w:rPr>
                <w:color w:val="000000"/>
                <w:highlight w:val="none"/>
              </w:rPr>
              <w:t>工作年限</w:t>
            </w:r>
          </w:p>
        </w:tc>
        <w:tc>
          <w:tcPr>
            <w:tcW w:w="2875" w:type="dxa"/>
          </w:tcPr>
          <w:p>
            <w:pPr>
              <w:pStyle w:val="40"/>
              <w:pageBreakBefore w:val="0"/>
              <w:kinsoku/>
              <w:topLinePunct w:val="0"/>
              <w:bidi w:val="0"/>
              <w:spacing w:line="360" w:lineRule="auto"/>
              <w:rPr>
                <w:rFonts w:ascii="Times New Roman"/>
                <w:color w:val="000000"/>
                <w:sz w:val="22"/>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51" w:hRule="atLeast"/>
        </w:trPr>
        <w:tc>
          <w:tcPr>
            <w:tcW w:w="2131" w:type="dxa"/>
            <w:gridSpan w:val="2"/>
          </w:tcPr>
          <w:p>
            <w:pPr>
              <w:pStyle w:val="40"/>
              <w:pageBreakBefore w:val="0"/>
              <w:kinsoku/>
              <w:topLinePunct w:val="0"/>
              <w:bidi w:val="0"/>
              <w:spacing w:before="101" w:line="360" w:lineRule="auto"/>
              <w:ind w:left="1161" w:right="736"/>
              <w:rPr>
                <w:color w:val="000000"/>
                <w:highlight w:val="none"/>
              </w:rPr>
            </w:pPr>
            <w:r>
              <w:rPr>
                <w:color w:val="000000"/>
                <w:highlight w:val="none"/>
              </w:rPr>
              <w:t>主要工作业绩及担任的主要工</w:t>
            </w:r>
          </w:p>
          <w:p>
            <w:pPr>
              <w:pStyle w:val="40"/>
              <w:pageBreakBefore w:val="0"/>
              <w:kinsoku/>
              <w:topLinePunct w:val="0"/>
              <w:bidi w:val="0"/>
              <w:spacing w:line="360" w:lineRule="auto"/>
              <w:ind w:left="422"/>
              <w:jc w:val="center"/>
              <w:rPr>
                <w:color w:val="000000"/>
                <w:highlight w:val="none"/>
              </w:rPr>
            </w:pPr>
            <w:r>
              <w:rPr>
                <w:color w:val="000000"/>
                <w:highlight w:val="none"/>
              </w:rPr>
              <w:t>作</w:t>
            </w:r>
          </w:p>
        </w:tc>
        <w:tc>
          <w:tcPr>
            <w:tcW w:w="6393" w:type="dxa"/>
            <w:gridSpan w:val="4"/>
          </w:tcPr>
          <w:p>
            <w:pPr>
              <w:pStyle w:val="40"/>
              <w:pageBreakBefore w:val="0"/>
              <w:kinsoku/>
              <w:topLinePunct w:val="0"/>
              <w:bidi w:val="0"/>
              <w:spacing w:line="360" w:lineRule="auto"/>
              <w:rPr>
                <w:rFonts w:ascii="Times New Roman"/>
                <w:color w:val="000000"/>
                <w:sz w:val="22"/>
                <w:highlight w:val="none"/>
              </w:rPr>
            </w:pPr>
          </w:p>
        </w:tc>
      </w:tr>
    </w:tbl>
    <w:p>
      <w:pPr>
        <w:pageBreakBefore w:val="0"/>
        <w:kinsoku/>
        <w:topLinePunct w:val="0"/>
        <w:bidi w:val="0"/>
        <w:snapToGrid w:val="0"/>
        <w:spacing w:line="360" w:lineRule="auto"/>
        <w:ind w:firstLine="618" w:firstLineChars="300"/>
        <w:jc w:val="center"/>
        <w:rPr>
          <w:rFonts w:hint="eastAsia" w:ascii="新宋体" w:hAnsi="新宋体" w:eastAsia="新宋体" w:cs="新宋体"/>
          <w:color w:val="000000"/>
          <w:sz w:val="32"/>
          <w:highlight w:val="none"/>
          <w:lang w:val="zh-CN" w:bidi="zh-CN"/>
        </w:rPr>
      </w:pPr>
      <w:r>
        <w:rPr>
          <w:rFonts w:hint="eastAsia"/>
          <w:color w:val="000000"/>
          <w:spacing w:val="-2"/>
          <w:highlight w:val="none"/>
        </w:rPr>
        <w:br w:type="page"/>
      </w:r>
      <w:r>
        <w:rPr>
          <w:rFonts w:hint="eastAsia" w:ascii="Times New Roman" w:hAnsi="Times New Roman" w:eastAsia="宋体"/>
          <w:b/>
          <w:bCs/>
          <w:color w:val="000000"/>
          <w:kern w:val="2"/>
          <w:sz w:val="32"/>
          <w:szCs w:val="32"/>
          <w:highlight w:val="none"/>
          <w:lang w:val="zh-CN" w:eastAsia="zh-CN" w:bidi="ar-SA"/>
        </w:rPr>
        <w:t>9、信用查询记录</w:t>
      </w:r>
    </w:p>
    <w:p>
      <w:pPr>
        <w:pageBreakBefore w:val="0"/>
        <w:kinsoku/>
        <w:topLinePunct w:val="0"/>
        <w:bidi w:val="0"/>
        <w:spacing w:line="360" w:lineRule="auto"/>
        <w:ind w:firstLine="480"/>
        <w:rPr>
          <w:rFonts w:hint="eastAsia" w:ascii="宋体" w:hAnsi="宋体" w:cs="宋体"/>
          <w:color w:val="000000"/>
          <w:sz w:val="24"/>
          <w:highlight w:val="none"/>
        </w:rPr>
      </w:pPr>
      <w:r>
        <w:rPr>
          <w:rFonts w:hint="eastAsia" w:ascii="宋体" w:hAnsi="宋体" w:cs="宋体"/>
          <w:color w:val="000000"/>
          <w:sz w:val="24"/>
          <w:highlight w:val="none"/>
        </w:rPr>
        <w:t>根据财库（2016）7017/4/17125号文的规定，各</w:t>
      </w:r>
      <w:r>
        <w:rPr>
          <w:rFonts w:hint="eastAsia" w:ascii="宋体" w:hAnsi="宋体" w:cs="宋体"/>
          <w:color w:val="000000"/>
          <w:sz w:val="24"/>
          <w:highlight w:val="none"/>
          <w:lang w:eastAsia="zh-CN"/>
        </w:rPr>
        <w:t>供应商</w:t>
      </w:r>
      <w:r>
        <w:rPr>
          <w:rFonts w:hint="eastAsia" w:ascii="宋体" w:hAnsi="宋体" w:cs="宋体"/>
          <w:color w:val="000000"/>
          <w:sz w:val="24"/>
          <w:highlight w:val="none"/>
        </w:rPr>
        <w:t>需通过“信用中国”网站（http://www.creditchina.gov.cn/）和中国政府采购网（http://www.ccgp.gov.cn/）</w:t>
      </w:r>
      <w:r>
        <w:rPr>
          <w:rFonts w:hint="eastAsia" w:ascii="宋体" w:hAnsi="宋体" w:cs="宋体"/>
          <w:b/>
          <w:bCs/>
          <w:color w:val="000000"/>
          <w:sz w:val="24"/>
          <w:highlight w:val="none"/>
        </w:rPr>
        <w:t>查询失信行为信息记录，并打印网站查询结果的截图。</w:t>
      </w:r>
      <w:r>
        <w:rPr>
          <w:rFonts w:hint="eastAsia" w:ascii="宋体" w:hAnsi="宋体" w:cs="宋体"/>
          <w:color w:val="000000"/>
          <w:sz w:val="24"/>
          <w:highlight w:val="none"/>
        </w:rPr>
        <w:t>对列入</w:t>
      </w:r>
      <w:r>
        <w:rPr>
          <w:rFonts w:hint="eastAsia" w:ascii="宋体" w:hAnsi="宋体" w:cs="宋体"/>
          <w:color w:val="000000"/>
          <w:sz w:val="24"/>
          <w:highlight w:val="none"/>
          <w:lang w:val="en-GB" w:eastAsia="zh-CN"/>
        </w:rPr>
        <w:t>失信被执行人、</w:t>
      </w:r>
      <w:r>
        <w:rPr>
          <w:rFonts w:hint="eastAsia" w:ascii="宋体" w:hAnsi="宋体" w:cs="宋体"/>
          <w:color w:val="000000"/>
          <w:sz w:val="24"/>
          <w:highlight w:val="none"/>
          <w:lang w:val="en-US" w:eastAsia="zh-CN"/>
        </w:rPr>
        <w:t>重大税收违法失信主体</w:t>
      </w:r>
      <w:r>
        <w:rPr>
          <w:rFonts w:hint="eastAsia" w:ascii="宋体" w:hAnsi="宋体" w:cs="宋体"/>
          <w:color w:val="000000"/>
          <w:sz w:val="24"/>
          <w:highlight w:val="none"/>
          <w:lang w:val="en-GB" w:eastAsia="zh-CN"/>
        </w:rPr>
        <w:t>、政府采购</w:t>
      </w:r>
      <w:r>
        <w:rPr>
          <w:rFonts w:hint="eastAsia" w:ascii="宋体" w:hAnsi="宋体" w:cs="宋体"/>
          <w:color w:val="000000"/>
          <w:sz w:val="24"/>
          <w:highlight w:val="none"/>
          <w:lang w:val="en-US" w:eastAsia="zh-CN"/>
        </w:rPr>
        <w:t>严重违法失信行为记录</w:t>
      </w:r>
      <w:r>
        <w:rPr>
          <w:rFonts w:hint="eastAsia" w:ascii="宋体" w:hAnsi="宋体" w:cs="宋体"/>
          <w:color w:val="000000"/>
          <w:sz w:val="24"/>
          <w:highlight w:val="none"/>
        </w:rPr>
        <w:t>名单的单位拒绝其参与政府采购活动（提供网站截图）；</w:t>
      </w:r>
    </w:p>
    <w:p>
      <w:pPr>
        <w:pageBreakBefore w:val="0"/>
        <w:kinsoku/>
        <w:topLinePunct w:val="0"/>
        <w:bidi w:val="0"/>
        <w:spacing w:line="360" w:lineRule="auto"/>
        <w:ind w:firstLine="480"/>
        <w:rPr>
          <w:rFonts w:hint="eastAsia" w:ascii="宋体" w:hAnsi="宋体" w:cs="宋体"/>
          <w:color w:val="000000"/>
          <w:sz w:val="24"/>
          <w:highlight w:val="none"/>
        </w:rPr>
      </w:pPr>
      <w:r>
        <w:rPr>
          <w:rFonts w:hint="eastAsia" w:ascii="宋体" w:hAnsi="宋体" w:cs="宋体"/>
          <w:color w:val="000000"/>
          <w:sz w:val="24"/>
          <w:highlight w:val="none"/>
        </w:rPr>
        <w:t>两个以上的自然人、法人或其他组织组成一个联合体，以一个</w:t>
      </w:r>
      <w:r>
        <w:rPr>
          <w:rFonts w:hint="eastAsia" w:ascii="宋体" w:hAnsi="宋体" w:cs="宋体"/>
          <w:color w:val="000000"/>
          <w:sz w:val="24"/>
          <w:highlight w:val="none"/>
          <w:lang w:eastAsia="zh-CN"/>
        </w:rPr>
        <w:t>供应商</w:t>
      </w:r>
      <w:r>
        <w:rPr>
          <w:rFonts w:hint="eastAsia" w:ascii="宋体" w:hAnsi="宋体" w:cs="宋体"/>
          <w:color w:val="000000"/>
          <w:sz w:val="24"/>
          <w:highlight w:val="none"/>
        </w:rPr>
        <w:t>的身份共同参加政府采购活动的，对所有联合体成员进行信用记录查询，联合体成员存在不良信用记录的，视联合体存在不良信用记录。</w:t>
      </w:r>
    </w:p>
    <w:p>
      <w:pPr>
        <w:pageBreakBefore w:val="0"/>
        <w:kinsoku/>
        <w:topLinePunct w:val="0"/>
        <w:bidi w:val="0"/>
        <w:spacing w:line="360" w:lineRule="auto"/>
        <w:ind w:firstLine="480"/>
        <w:rPr>
          <w:rFonts w:hint="eastAsia" w:ascii="宋体" w:hAnsi="宋体" w:cs="宋体"/>
          <w:color w:val="000000"/>
          <w:sz w:val="24"/>
          <w:highlight w:val="none"/>
        </w:rPr>
      </w:pPr>
    </w:p>
    <w:p>
      <w:pPr>
        <w:pageBreakBefore w:val="0"/>
        <w:kinsoku/>
        <w:topLinePunct w:val="0"/>
        <w:bidi w:val="0"/>
        <w:spacing w:line="360" w:lineRule="auto"/>
        <w:ind w:firstLine="480"/>
        <w:rPr>
          <w:rFonts w:hint="eastAsia" w:ascii="宋体" w:hAnsi="宋体" w:cs="宋体"/>
          <w:color w:val="000000"/>
          <w:sz w:val="24"/>
          <w:highlight w:val="none"/>
        </w:rPr>
      </w:pPr>
    </w:p>
    <w:p>
      <w:pPr>
        <w:pageBreakBefore w:val="0"/>
        <w:kinsoku/>
        <w:topLinePunct w:val="0"/>
        <w:bidi w:val="0"/>
        <w:spacing w:line="360" w:lineRule="auto"/>
        <w:ind w:firstLine="4320" w:firstLineChars="1800"/>
        <w:rPr>
          <w:rFonts w:hint="eastAsia" w:ascii="宋体" w:hAnsi="宋体" w:cs="宋体"/>
          <w:color w:val="000000"/>
          <w:sz w:val="24"/>
          <w:highlight w:val="none"/>
        </w:rPr>
      </w:pPr>
      <w:r>
        <w:rPr>
          <w:rFonts w:hint="eastAsia" w:ascii="宋体" w:hAnsi="宋体" w:cs="宋体"/>
          <w:color w:val="000000"/>
          <w:sz w:val="24"/>
          <w:highlight w:val="none"/>
          <w:lang w:eastAsia="zh-CN"/>
        </w:rPr>
        <w:t>供应商名称</w:t>
      </w:r>
      <w:r>
        <w:rPr>
          <w:rFonts w:hint="eastAsia" w:ascii="宋体" w:hAnsi="宋体" w:cs="宋体"/>
          <w:color w:val="000000"/>
          <w:sz w:val="24"/>
          <w:highlight w:val="none"/>
        </w:rPr>
        <w:t>：（填写</w:t>
      </w:r>
      <w:r>
        <w:rPr>
          <w:rFonts w:hint="eastAsia" w:ascii="宋体" w:hAnsi="宋体" w:cs="宋体"/>
          <w:color w:val="000000"/>
          <w:sz w:val="24"/>
          <w:highlight w:val="none"/>
          <w:lang w:eastAsia="zh-CN"/>
        </w:rPr>
        <w:t>单位</w:t>
      </w:r>
      <w:r>
        <w:rPr>
          <w:rFonts w:hint="eastAsia" w:ascii="宋体" w:hAnsi="宋体" w:cs="宋体"/>
          <w:color w:val="000000"/>
          <w:sz w:val="24"/>
          <w:highlight w:val="none"/>
        </w:rPr>
        <w:t>名称并</w:t>
      </w:r>
      <w:r>
        <w:rPr>
          <w:rFonts w:hint="eastAsia" w:ascii="宋体" w:hAnsi="宋体" w:cs="宋体"/>
          <w:color w:val="000000"/>
          <w:sz w:val="24"/>
          <w:highlight w:val="none"/>
          <w:lang w:eastAsia="zh-CN"/>
        </w:rPr>
        <w:t>加盖公章</w:t>
      </w:r>
      <w:r>
        <w:rPr>
          <w:rFonts w:hint="eastAsia" w:ascii="宋体" w:hAnsi="宋体" w:cs="宋体"/>
          <w:color w:val="000000"/>
          <w:sz w:val="24"/>
          <w:highlight w:val="none"/>
        </w:rPr>
        <w:t>）</w:t>
      </w:r>
    </w:p>
    <w:p>
      <w:pPr>
        <w:pageBreakBefore w:val="0"/>
        <w:kinsoku/>
        <w:topLinePunct w:val="0"/>
        <w:bidi w:val="0"/>
        <w:spacing w:line="360" w:lineRule="auto"/>
        <w:ind w:firstLine="480"/>
        <w:rPr>
          <w:rFonts w:hint="eastAsia" w:ascii="宋体" w:hAnsi="宋体" w:cs="宋体"/>
          <w:color w:val="000000"/>
          <w:sz w:val="24"/>
          <w:highlight w:val="none"/>
        </w:rPr>
      </w:pPr>
    </w:p>
    <w:p>
      <w:pPr>
        <w:pageBreakBefore w:val="0"/>
        <w:kinsoku/>
        <w:topLinePunct w:val="0"/>
        <w:bidi w:val="0"/>
        <w:spacing w:line="360" w:lineRule="auto"/>
        <w:ind w:firstLine="4320" w:firstLineChars="1800"/>
        <w:rPr>
          <w:rFonts w:hint="eastAsia" w:ascii="宋体" w:hAnsi="宋体" w:cs="宋体"/>
          <w:color w:val="000000"/>
          <w:sz w:val="24"/>
          <w:highlight w:val="none"/>
        </w:rPr>
      </w:pPr>
      <w:r>
        <w:rPr>
          <w:rFonts w:hint="eastAsia" w:ascii="宋体" w:hAnsi="宋体" w:cs="宋体"/>
          <w:color w:val="000000"/>
          <w:sz w:val="24"/>
          <w:highlight w:val="none"/>
        </w:rPr>
        <w:t>法定代表人或授权代表：（签字或盖章）</w:t>
      </w:r>
    </w:p>
    <w:p>
      <w:pPr>
        <w:pageBreakBefore w:val="0"/>
        <w:kinsoku/>
        <w:topLinePunct w:val="0"/>
        <w:bidi w:val="0"/>
        <w:spacing w:line="360" w:lineRule="auto"/>
        <w:ind w:firstLine="480"/>
        <w:rPr>
          <w:rFonts w:hint="eastAsia" w:ascii="宋体" w:hAnsi="宋体" w:cs="宋体"/>
          <w:color w:val="000000"/>
          <w:sz w:val="24"/>
          <w:highlight w:val="none"/>
        </w:rPr>
      </w:pPr>
    </w:p>
    <w:p>
      <w:pPr>
        <w:pageBreakBefore w:val="0"/>
        <w:kinsoku/>
        <w:topLinePunct w:val="0"/>
        <w:bidi w:val="0"/>
        <w:spacing w:line="360" w:lineRule="auto"/>
        <w:ind w:firstLine="480"/>
        <w:rPr>
          <w:rFonts w:hint="eastAsia" w:ascii="宋体" w:hAnsi="宋体" w:cs="宋体"/>
          <w:color w:val="000000"/>
          <w:sz w:val="24"/>
          <w:highlight w:val="none"/>
        </w:rPr>
      </w:pPr>
    </w:p>
    <w:p>
      <w:pPr>
        <w:pageBreakBefore w:val="0"/>
        <w:kinsoku/>
        <w:topLinePunct w:val="0"/>
        <w:bidi w:val="0"/>
        <w:spacing w:line="360" w:lineRule="auto"/>
        <w:ind w:firstLine="5102" w:firstLineChars="2126"/>
        <w:rPr>
          <w:rFonts w:hint="eastAsia"/>
          <w:color w:val="000000"/>
          <w:highlight w:val="none"/>
        </w:rPr>
        <w:sectPr>
          <w:pgSz w:w="11906" w:h="16838"/>
          <w:pgMar w:top="1247" w:right="1247" w:bottom="1134" w:left="1644" w:header="851" w:footer="850" w:gutter="0"/>
          <w:pgNumType w:fmt="decimal"/>
          <w:cols w:space="708" w:num="1"/>
          <w:docGrid w:type="lines" w:linePitch="321" w:charSpace="0"/>
        </w:sectPr>
      </w:pPr>
      <w:r>
        <w:rPr>
          <w:rFonts w:hint="eastAsia" w:ascii="宋体" w:hAnsi="宋体" w:cs="宋体"/>
          <w:color w:val="000000"/>
          <w:sz w:val="24"/>
          <w:highlight w:val="none"/>
        </w:rPr>
        <w:t>日</w:t>
      </w:r>
      <w:r>
        <w:rPr>
          <w:rFonts w:hint="eastAsia" w:ascii="宋体" w:hAnsi="宋体" w:cs="宋体"/>
          <w:color w:val="000000"/>
          <w:sz w:val="24"/>
          <w:highlight w:val="none"/>
          <w:lang w:val="en-US" w:eastAsia="zh-CN"/>
        </w:rPr>
        <w:t xml:space="preserve">    </w:t>
      </w:r>
      <w:r>
        <w:rPr>
          <w:rFonts w:hint="eastAsia" w:ascii="宋体" w:hAnsi="宋体" w:cs="宋体"/>
          <w:color w:val="000000"/>
          <w:sz w:val="24"/>
          <w:highlight w:val="none"/>
        </w:rPr>
        <w:t>期：   年  月  日</w:t>
      </w:r>
    </w:p>
    <w:p>
      <w:pPr>
        <w:pStyle w:val="2"/>
        <w:pageBreakBefore w:val="0"/>
        <w:kinsoku/>
        <w:topLinePunct w:val="0"/>
        <w:bidi w:val="0"/>
        <w:spacing w:line="360" w:lineRule="auto"/>
        <w:jc w:val="center"/>
        <w:rPr>
          <w:rFonts w:hint="eastAsia" w:ascii="宋体" w:hAnsi="宋体" w:eastAsia="宋体" w:cs="宋体"/>
          <w:color w:val="000000"/>
          <w:highlight w:val="none"/>
        </w:rPr>
      </w:pPr>
      <w:bookmarkStart w:id="224" w:name="_Toc19877"/>
      <w:r>
        <w:rPr>
          <w:rFonts w:hint="eastAsia" w:ascii="宋体" w:hAnsi="宋体" w:eastAsia="宋体" w:cs="宋体"/>
          <w:color w:val="000000"/>
          <w:highlight w:val="none"/>
        </w:rPr>
        <w:t>1</w:t>
      </w:r>
      <w:r>
        <w:rPr>
          <w:rFonts w:hint="eastAsia" w:ascii="宋体" w:hAnsi="宋体" w:eastAsia="宋体" w:cs="宋体"/>
          <w:color w:val="000000"/>
          <w:highlight w:val="none"/>
          <w:lang w:val="en-US" w:eastAsia="zh-CN"/>
        </w:rPr>
        <w:t>0</w:t>
      </w:r>
      <w:r>
        <w:rPr>
          <w:rFonts w:hint="eastAsia" w:ascii="宋体" w:hAnsi="宋体" w:eastAsia="宋体" w:cs="宋体"/>
          <w:color w:val="000000"/>
          <w:highlight w:val="none"/>
        </w:rPr>
        <w:t>、缴纳投标保证金凭证</w:t>
      </w:r>
      <w:bookmarkEnd w:id="224"/>
    </w:p>
    <w:p>
      <w:pPr>
        <w:pageBreakBefore w:val="0"/>
        <w:tabs>
          <w:tab w:val="left" w:pos="1710"/>
        </w:tabs>
        <w:kinsoku/>
        <w:topLinePunct w:val="0"/>
        <w:bidi w:val="0"/>
        <w:spacing w:line="360" w:lineRule="auto"/>
        <w:jc w:val="left"/>
        <w:rPr>
          <w:rFonts w:hint="eastAsia"/>
          <w:color w:val="000000"/>
          <w:highlight w:val="none"/>
        </w:rPr>
      </w:pPr>
    </w:p>
    <w:p>
      <w:pPr>
        <w:pStyle w:val="2"/>
        <w:pageBreakBefore w:val="0"/>
        <w:kinsoku/>
        <w:topLinePunct w:val="0"/>
        <w:bidi w:val="0"/>
        <w:spacing w:line="360" w:lineRule="auto"/>
        <w:rPr>
          <w:rFonts w:hint="eastAsia"/>
          <w:color w:val="000000"/>
          <w:highlight w:val="none"/>
        </w:rPr>
        <w:sectPr>
          <w:pgSz w:w="11906" w:h="16838"/>
          <w:pgMar w:top="1247" w:right="1247" w:bottom="1134" w:left="1644" w:header="851" w:footer="850" w:gutter="0"/>
          <w:pgNumType w:fmt="decimal"/>
          <w:cols w:space="708" w:num="1"/>
          <w:docGrid w:type="lines" w:linePitch="321" w:charSpace="0"/>
        </w:sectPr>
      </w:pPr>
    </w:p>
    <w:p>
      <w:pPr>
        <w:pageBreakBefore w:val="0"/>
        <w:kinsoku/>
        <w:topLinePunct w:val="0"/>
        <w:bidi w:val="0"/>
        <w:spacing w:line="360" w:lineRule="auto"/>
        <w:jc w:val="center"/>
        <w:rPr>
          <w:rFonts w:hint="default" w:ascii="宋体" w:hAnsi="宋体" w:eastAsia="宋体" w:cs="宋体"/>
          <w:b/>
          <w:bCs/>
          <w:color w:val="000000"/>
          <w:kern w:val="2"/>
          <w:sz w:val="36"/>
          <w:szCs w:val="32"/>
          <w:highlight w:val="none"/>
          <w:lang w:val="en-US" w:eastAsia="zh-CN" w:bidi="ar-SA"/>
        </w:rPr>
        <w:sectPr>
          <w:pgSz w:w="11906" w:h="16838"/>
          <w:pgMar w:top="1247" w:right="1247" w:bottom="1134" w:left="1644" w:header="851" w:footer="850" w:gutter="0"/>
          <w:pgNumType w:fmt="decimal"/>
          <w:cols w:space="708" w:num="1"/>
          <w:docGrid w:type="lines" w:linePitch="321" w:charSpace="0"/>
        </w:sectPr>
      </w:pPr>
      <w:r>
        <w:rPr>
          <w:rFonts w:hint="eastAsia" w:ascii="宋体" w:hAnsi="宋体" w:eastAsia="宋体" w:cs="宋体"/>
          <w:b/>
          <w:bCs/>
          <w:color w:val="000000"/>
          <w:kern w:val="2"/>
          <w:sz w:val="36"/>
          <w:szCs w:val="32"/>
          <w:highlight w:val="none"/>
          <w:lang w:val="en-US" w:eastAsia="zh-CN" w:bidi="ar-SA"/>
        </w:rPr>
        <w:t>11、其他材料</w:t>
      </w:r>
    </w:p>
    <w:bookmarkEnd w:id="221"/>
    <w:p>
      <w:pPr>
        <w:pStyle w:val="2"/>
        <w:keepNext w:val="0"/>
        <w:keepLines w:val="0"/>
        <w:pageBreakBefore w:val="0"/>
        <w:kinsoku/>
        <w:topLinePunct w:val="0"/>
        <w:bidi w:val="0"/>
        <w:spacing w:line="360" w:lineRule="auto"/>
        <w:jc w:val="center"/>
        <w:rPr>
          <w:rFonts w:hint="eastAsia" w:ascii="Times New Roman" w:hAnsi="Times New Roman" w:eastAsia="宋体"/>
          <w:color w:val="000000"/>
          <w:sz w:val="32"/>
          <w:highlight w:val="none"/>
        </w:rPr>
      </w:pPr>
      <w:bookmarkStart w:id="225" w:name="_Toc317237644"/>
      <w:bookmarkStart w:id="226" w:name="_Toc30199"/>
      <w:bookmarkStart w:id="227" w:name="_Toc22419"/>
      <w:r>
        <w:rPr>
          <w:rFonts w:hint="eastAsia" w:ascii="Times New Roman" w:hAnsi="Times New Roman" w:eastAsia="宋体"/>
          <w:color w:val="000000"/>
          <w:sz w:val="32"/>
          <w:highlight w:val="none"/>
        </w:rPr>
        <w:t>三、技术响应文件</w:t>
      </w:r>
      <w:bookmarkEnd w:id="225"/>
      <w:bookmarkEnd w:id="226"/>
      <w:bookmarkEnd w:id="227"/>
    </w:p>
    <w:bookmarkEnd w:id="202"/>
    <w:p>
      <w:pPr>
        <w:pStyle w:val="2"/>
        <w:keepNext w:val="0"/>
        <w:keepLines w:val="0"/>
        <w:pageBreakBefore w:val="0"/>
        <w:kinsoku/>
        <w:topLinePunct w:val="0"/>
        <w:bidi w:val="0"/>
        <w:spacing w:before="160" w:beforeLines="50" w:beforeAutospacing="0" w:after="160" w:afterLines="50" w:afterAutospacing="0" w:line="360" w:lineRule="auto"/>
        <w:rPr>
          <w:rFonts w:hint="eastAsia" w:eastAsia="宋体"/>
          <w:color w:val="000000"/>
          <w:highlight w:val="none"/>
        </w:rPr>
      </w:pPr>
      <w:bookmarkStart w:id="228" w:name="_Toc18138"/>
      <w:r>
        <w:rPr>
          <w:rFonts w:hint="eastAsia" w:ascii="Times New Roman" w:hAnsi="Times New Roman" w:eastAsia="宋体"/>
          <w:color w:val="000000"/>
          <w:sz w:val="32"/>
          <w:highlight w:val="none"/>
        </w:rPr>
        <w:t>施工组织设计</w:t>
      </w:r>
      <w:bookmarkEnd w:id="228"/>
    </w:p>
    <w:p>
      <w:pPr>
        <w:pageBreakBefore w:val="0"/>
        <w:kinsoku/>
        <w:topLinePunct w:val="0"/>
        <w:bidi w:val="0"/>
        <w:adjustRightInd w:val="0"/>
        <w:snapToGrid w:val="0"/>
        <w:spacing w:line="360" w:lineRule="auto"/>
        <w:rPr>
          <w:rFonts w:hint="eastAsia" w:ascii="宋体" w:hAnsi="宋体" w:cs="宋体"/>
          <w:color w:val="000000"/>
          <w:sz w:val="24"/>
          <w:highlight w:val="none"/>
        </w:rPr>
      </w:pPr>
      <w:r>
        <w:rPr>
          <w:rFonts w:hint="eastAsia" w:ascii="宋体" w:hAnsi="宋体" w:cs="宋体"/>
          <w:color w:val="000000"/>
          <w:sz w:val="24"/>
          <w:highlight w:val="none"/>
        </w:rPr>
        <w:t>1、项目方案需至少包括</w:t>
      </w:r>
      <w:r>
        <w:rPr>
          <w:rFonts w:hint="eastAsia" w:ascii="宋体" w:hAnsi="宋体" w:cs="宋体"/>
          <w:color w:val="000000"/>
          <w:sz w:val="24"/>
          <w:highlight w:val="none"/>
          <w:lang w:eastAsia="zh-CN"/>
        </w:rPr>
        <w:t>供应商</w:t>
      </w:r>
      <w:r>
        <w:rPr>
          <w:rFonts w:hint="eastAsia" w:ascii="宋体" w:hAnsi="宋体" w:cs="宋体"/>
          <w:color w:val="000000"/>
          <w:sz w:val="24"/>
          <w:highlight w:val="none"/>
        </w:rPr>
        <w:t>内容完整性和编制水平、施工方案与技术措施、施工进度计划与措施、质量管理体系与措施、安全管理体系与措施、环境保护体系与措施；</w:t>
      </w:r>
    </w:p>
    <w:p>
      <w:pPr>
        <w:pageBreakBefore w:val="0"/>
        <w:kinsoku/>
        <w:topLinePunct w:val="0"/>
        <w:bidi w:val="0"/>
        <w:adjustRightInd w:val="0"/>
        <w:snapToGrid w:val="0"/>
        <w:spacing w:line="360" w:lineRule="auto"/>
        <w:rPr>
          <w:rFonts w:hint="eastAsia" w:ascii="宋体" w:hAnsi="宋体" w:cs="宋体"/>
          <w:color w:val="000000"/>
          <w:sz w:val="24"/>
          <w:highlight w:val="none"/>
        </w:rPr>
      </w:pPr>
    </w:p>
    <w:p>
      <w:pPr>
        <w:pageBreakBefore w:val="0"/>
        <w:kinsoku/>
        <w:topLinePunct w:val="0"/>
        <w:bidi w:val="0"/>
        <w:spacing w:line="360" w:lineRule="auto"/>
        <w:rPr>
          <w:rFonts w:hint="eastAsia"/>
          <w:color w:val="000000"/>
          <w:highlight w:val="none"/>
        </w:rPr>
      </w:pPr>
      <w:r>
        <w:rPr>
          <w:rFonts w:hint="eastAsia" w:ascii="宋体" w:hAnsi="宋体" w:cs="宋体"/>
          <w:color w:val="000000"/>
          <w:sz w:val="24"/>
          <w:highlight w:val="none"/>
        </w:rPr>
        <w:t>2、格式由</w:t>
      </w:r>
      <w:r>
        <w:rPr>
          <w:rFonts w:hint="eastAsia" w:ascii="宋体" w:hAnsi="宋体" w:cs="宋体"/>
          <w:color w:val="000000"/>
          <w:sz w:val="24"/>
          <w:highlight w:val="none"/>
          <w:lang w:eastAsia="zh-CN"/>
        </w:rPr>
        <w:t>供应商</w:t>
      </w:r>
      <w:r>
        <w:rPr>
          <w:rFonts w:hint="eastAsia" w:ascii="宋体" w:hAnsi="宋体" w:cs="宋体"/>
          <w:color w:val="000000"/>
          <w:sz w:val="24"/>
          <w:highlight w:val="none"/>
        </w:rPr>
        <w:t>自行拟定。</w:t>
      </w:r>
    </w:p>
    <w:p>
      <w:pPr>
        <w:pageBreakBefore w:val="0"/>
        <w:kinsoku/>
        <w:topLinePunct w:val="0"/>
        <w:bidi w:val="0"/>
        <w:spacing w:line="360" w:lineRule="auto"/>
        <w:rPr>
          <w:color w:val="000000"/>
          <w:highlight w:val="none"/>
        </w:rPr>
      </w:pPr>
    </w:p>
    <w:p>
      <w:pPr>
        <w:pageBreakBefore w:val="0"/>
        <w:kinsoku/>
        <w:topLinePunct w:val="0"/>
        <w:bidi w:val="0"/>
        <w:spacing w:line="360" w:lineRule="auto"/>
        <w:rPr>
          <w:color w:val="000000"/>
          <w:highlight w:val="none"/>
        </w:rPr>
      </w:pPr>
    </w:p>
    <w:sectPr>
      <w:pgSz w:w="11906" w:h="16838"/>
      <w:pgMar w:top="1247" w:right="1247" w:bottom="1134" w:left="1644" w:header="851" w:footer="850" w:gutter="0"/>
      <w:pgNumType w:fmt="decimal"/>
      <w:cols w:space="708"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Calibri">
    <w:panose1 w:val="020F0502020204030204"/>
    <w:charset w:val="86"/>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jc w:val="center"/>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wps:txbx>
                    <wps:bodyPr wrap="none" lIns="0" tIns="0" rIns="0" bIns="0" upright="1">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Pv5wssBAACcAwAADgAAAGRycy9lMm9Eb2MueG1srVPNjtMwEL4j8Q6W&#10;79Rpk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Xq+y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D7+cLLAQAAnAMAAA4AAAAAAAAAAQAgAAAAHgEAAGRycy9lMm9E&#10;b2MueG1sUEsFBgAAAAAGAAYAWQEAAFsFAAAAAA==&#10;">
              <v:fill on="f" focussize="0,0"/>
              <v:stroke on="f"/>
              <v:imagedata o:title=""/>
              <o:lock v:ext="edit" aspectratio="f"/>
              <v:textbox inset="0mm,0mm,0mm,0mm" style="mso-fit-shape-to-text:t;">
                <w:txbxContent>
                  <w:p>
                    <w:pPr>
                      <w:pStyle w:val="13"/>
                      <w:jc w:val="center"/>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mc:Fallback>
      </mc:AlternateContent>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wrap="none" lIns="0" tIns="0" rIns="0" bIns="0" upright="1">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BVBUrVAQAApgMAAA4AAABkcnMvZTJvRG9jLnhtbK1TzY7TMBC+&#10;I/EOlu80aVcLUdR0BaoWISFA2uUBXMduLPlPHrdJXwDegBMX7jxXn4Oxk3TR7mUPe3FmPONv5vtm&#10;sr4ZjCZHEUA529DloqREWO5aZfcN/X5/+6aiBCKzLdPOioaeBNCbzetX697XYuU6p1sRCIJYqHvf&#10;0C5GXxcF8E4YBgvnhcWgdMGwiG7YF21gPaIbXazK8m3Ru9D64LgAwNvtGKQTYngOoJNScbF1/GCE&#10;jSNqEJpFpASd8kA3uVspBY9fpQQRiW4oMo35xCJo79JZbNas3gfmO8WnFthzWnjEyTBlsegFassi&#10;I4egnkAZxYMDJ+OCO1OMRLIiyGJZPtLmrmNeZC4oNfiL6PBysPzL8Vsgqm3oihLLDA78/Ovn+fff&#10;858fZFleXSWFeg81Jt55TI3DBzfg3sz3gJeJ+CCDSV+kRDCO+p4u+oohEp4eVauqKjHEMTY7iF88&#10;PPcB4kfhDElGQwMOMOvKjp8hjqlzSqpm3a3SOg9RW9Ij6nX17jq/uIQQXVsskliM3SYrDrthorZz&#10;7QmZ9bgFDbW49JToTxZFTgszG2E2drNx8EHtO2xymeuBf3+I2E7uMlUYYafCOL7Mc1q1tB//+znr&#10;4ffa/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oaYJL0wAAAAUBAAAPAAAAAAAAAAEAIAAAACIA&#10;AABkcnMvZG93bnJldi54bWxQSwECFAAUAAAACACHTuJAwFUFStUBAACmAwAADgAAAAAAAAABACAA&#10;AAAiAQAAZHJzL2Uyb0RvYy54bWxQSwUGAAAAAAYABgBZAQAAaQUAAAAA&#10;">
              <v:fill on="f" focussize="0,0"/>
              <v:stroke on="f" weight="1.25pt"/>
              <v:imagedata o:title=""/>
              <o:lock v:ext="edit" aspectratio="f"/>
              <v:textbox inset="0mm,0mm,0mm,0mm" style="mso-fit-shape-to-text:t;">
                <w:txbxContent>
                  <w:p>
                    <w:pPr>
                      <w:pStyle w:val="1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E0A4FC"/>
    <w:multiLevelType w:val="singleLevel"/>
    <w:tmpl w:val="ACE0A4FC"/>
    <w:lvl w:ilvl="0" w:tentative="0">
      <w:start w:val="2"/>
      <w:numFmt w:val="chineseCounting"/>
      <w:suff w:val="nothing"/>
      <w:lvlText w:val="（%1）"/>
      <w:lvlJc w:val="left"/>
      <w:rPr>
        <w:rFonts w:hint="eastAsia"/>
      </w:rPr>
    </w:lvl>
  </w:abstractNum>
  <w:abstractNum w:abstractNumId="1">
    <w:nsid w:val="C4B5FD3B"/>
    <w:multiLevelType w:val="singleLevel"/>
    <w:tmpl w:val="C4B5FD3B"/>
    <w:lvl w:ilvl="0" w:tentative="0">
      <w:start w:val="2"/>
      <w:numFmt w:val="chineseCounting"/>
      <w:suff w:val="space"/>
      <w:lvlText w:val="第%1部分"/>
      <w:lvlJc w:val="left"/>
      <w:rPr>
        <w:rFonts w:hint="eastAsia"/>
      </w:rPr>
    </w:lvl>
  </w:abstractNum>
  <w:abstractNum w:abstractNumId="2">
    <w:nsid w:val="0000000C"/>
    <w:multiLevelType w:val="multilevel"/>
    <w:tmpl w:val="0000000C"/>
    <w:lvl w:ilvl="0" w:tentative="0">
      <w:start w:val="1"/>
      <w:numFmt w:val="upperLetter"/>
      <w:lvlText w:val="%1."/>
      <w:lvlJc w:val="left"/>
      <w:pPr>
        <w:tabs>
          <w:tab w:val="left" w:pos="960"/>
        </w:tabs>
        <w:ind w:left="960" w:hanging="4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3">
    <w:nsid w:val="0000000D"/>
    <w:multiLevelType w:val="multilevel"/>
    <w:tmpl w:val="0000000D"/>
    <w:lvl w:ilvl="0" w:tentative="0">
      <w:start w:val="1"/>
      <w:numFmt w:val="decimal"/>
      <w:lvlText w:val="%1、"/>
      <w:lvlJc w:val="left"/>
      <w:pPr>
        <w:tabs>
          <w:tab w:val="left" w:pos="900"/>
        </w:tabs>
        <w:ind w:left="90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F"/>
    <w:multiLevelType w:val="multilevel"/>
    <w:tmpl w:val="0000000F"/>
    <w:lvl w:ilvl="0" w:tentative="0">
      <w:start w:val="1"/>
      <w:numFmt w:val="japaneseCounting"/>
      <w:lvlText w:val="%1、"/>
      <w:lvlJc w:val="left"/>
      <w:pPr>
        <w:tabs>
          <w:tab w:val="left" w:pos="960"/>
        </w:tabs>
        <w:ind w:left="960" w:hanging="48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00000011"/>
    <w:multiLevelType w:val="multilevel"/>
    <w:tmpl w:val="00000011"/>
    <w:lvl w:ilvl="0" w:tentative="0">
      <w:start w:val="1"/>
      <w:numFmt w:val="decimal"/>
      <w:lvlText w:val="%1、"/>
      <w:lvlJc w:val="left"/>
      <w:pPr>
        <w:tabs>
          <w:tab w:val="left" w:pos="960"/>
        </w:tabs>
        <w:ind w:left="0" w:firstLine="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2"/>
    <w:multiLevelType w:val="multilevel"/>
    <w:tmpl w:val="00000012"/>
    <w:lvl w:ilvl="0" w:tentative="0">
      <w:start w:val="1"/>
      <w:numFmt w:val="decimal"/>
      <w:lvlText w:val="%1、"/>
      <w:lvlJc w:val="left"/>
      <w:pPr>
        <w:tabs>
          <w:tab w:val="left" w:pos="1262"/>
        </w:tabs>
        <w:ind w:left="1262" w:hanging="36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7"/>
    <w:multiLevelType w:val="multilevel"/>
    <w:tmpl w:val="00000017"/>
    <w:lvl w:ilvl="0" w:tentative="0">
      <w:start w:val="1"/>
      <w:numFmt w:val="decimal"/>
      <w:lvlText w:val="%1"/>
      <w:lvlJc w:val="left"/>
      <w:pPr>
        <w:tabs>
          <w:tab w:val="left" w:pos="425"/>
        </w:tabs>
        <w:ind w:left="425" w:hanging="425"/>
      </w:pPr>
      <w:rPr>
        <w:rFonts w:hint="eastAsia"/>
      </w:rPr>
    </w:lvl>
    <w:lvl w:ilvl="1" w:tentative="0">
      <w:start w:val="1"/>
      <w:numFmt w:val="decimal"/>
      <w:pStyle w:val="5"/>
      <w:lvlText w:val="%1.%2"/>
      <w:lvlJc w:val="left"/>
      <w:pPr>
        <w:tabs>
          <w:tab w:val="left" w:pos="992"/>
        </w:tabs>
        <w:ind w:left="992" w:hanging="567"/>
      </w:pPr>
      <w:rPr>
        <w:rFonts w:hint="default" w:ascii="Times New Roman" w:hAnsi="Times New Roman" w:cs="Times New Roman"/>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8">
    <w:nsid w:val="00CD9C07"/>
    <w:multiLevelType w:val="singleLevel"/>
    <w:tmpl w:val="00CD9C07"/>
    <w:lvl w:ilvl="0" w:tentative="0">
      <w:start w:val="3"/>
      <w:numFmt w:val="chineseCounting"/>
      <w:suff w:val="space"/>
      <w:lvlText w:val="第%1部分"/>
      <w:lvlJc w:val="left"/>
      <w:rPr>
        <w:rFonts w:hint="eastAsia"/>
      </w:rPr>
    </w:lvl>
  </w:abstractNum>
  <w:abstractNum w:abstractNumId="9">
    <w:nsid w:val="555560D6"/>
    <w:multiLevelType w:val="multilevel"/>
    <w:tmpl w:val="555560D6"/>
    <w:lvl w:ilvl="0" w:tentative="0">
      <w:start w:val="2"/>
      <w:numFmt w:val="decimal"/>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A23615C"/>
    <w:multiLevelType w:val="singleLevel"/>
    <w:tmpl w:val="5A23615C"/>
    <w:lvl w:ilvl="0" w:tentative="0">
      <w:start w:val="1"/>
      <w:numFmt w:val="decimal"/>
      <w:suff w:val="nothing"/>
      <w:lvlText w:val="%1、"/>
      <w:lvlJc w:val="left"/>
    </w:lvl>
  </w:abstractNum>
  <w:num w:numId="1">
    <w:abstractNumId w:val="7"/>
  </w:num>
  <w:num w:numId="2">
    <w:abstractNumId w:val="1"/>
  </w:num>
  <w:num w:numId="3">
    <w:abstractNumId w:val="2"/>
  </w:num>
  <w:num w:numId="4">
    <w:abstractNumId w:val="8"/>
  </w:num>
  <w:num w:numId="5">
    <w:abstractNumId w:val="4"/>
  </w:num>
  <w:num w:numId="6">
    <w:abstractNumId w:val="5"/>
    <w:lvlOverride w:ilvl="0">
      <w:startOverride w:val="1"/>
    </w:lvlOverride>
  </w:num>
  <w:num w:numId="7">
    <w:abstractNumId w:val="9"/>
  </w:num>
  <w:num w:numId="8">
    <w:abstractNumId w:val="3"/>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60"/>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jNWJhNDQxNzRhM2YyNzg1YjEyMTJiYjQzMWFhMWQifQ=="/>
  </w:docVars>
  <w:rsids>
    <w:rsidRoot w:val="00172A27"/>
    <w:rsid w:val="00034B4B"/>
    <w:rsid w:val="000460C9"/>
    <w:rsid w:val="000529DE"/>
    <w:rsid w:val="00082640"/>
    <w:rsid w:val="000F3169"/>
    <w:rsid w:val="00177BD4"/>
    <w:rsid w:val="00177DCF"/>
    <w:rsid w:val="00177F2B"/>
    <w:rsid w:val="001A2300"/>
    <w:rsid w:val="001D1EE4"/>
    <w:rsid w:val="002060BB"/>
    <w:rsid w:val="00215337"/>
    <w:rsid w:val="002A6FBB"/>
    <w:rsid w:val="002C7AD6"/>
    <w:rsid w:val="002D500E"/>
    <w:rsid w:val="002F4B97"/>
    <w:rsid w:val="002F6C9A"/>
    <w:rsid w:val="00303739"/>
    <w:rsid w:val="00340692"/>
    <w:rsid w:val="00380587"/>
    <w:rsid w:val="00395D12"/>
    <w:rsid w:val="003E11AE"/>
    <w:rsid w:val="003F53F3"/>
    <w:rsid w:val="00434313"/>
    <w:rsid w:val="00492953"/>
    <w:rsid w:val="004F0633"/>
    <w:rsid w:val="00517A83"/>
    <w:rsid w:val="0052536C"/>
    <w:rsid w:val="005425A9"/>
    <w:rsid w:val="00547E11"/>
    <w:rsid w:val="005970C6"/>
    <w:rsid w:val="00613619"/>
    <w:rsid w:val="00615CC8"/>
    <w:rsid w:val="00622786"/>
    <w:rsid w:val="006413C3"/>
    <w:rsid w:val="006946BA"/>
    <w:rsid w:val="006B7A03"/>
    <w:rsid w:val="006C08E8"/>
    <w:rsid w:val="006C62DF"/>
    <w:rsid w:val="006E3ECB"/>
    <w:rsid w:val="00701ED7"/>
    <w:rsid w:val="007444F5"/>
    <w:rsid w:val="007D46D3"/>
    <w:rsid w:val="007F3D94"/>
    <w:rsid w:val="00817268"/>
    <w:rsid w:val="008570EE"/>
    <w:rsid w:val="00857A55"/>
    <w:rsid w:val="0086227A"/>
    <w:rsid w:val="008802E6"/>
    <w:rsid w:val="0088708F"/>
    <w:rsid w:val="00900111"/>
    <w:rsid w:val="00945A62"/>
    <w:rsid w:val="009701E8"/>
    <w:rsid w:val="009A0BD8"/>
    <w:rsid w:val="009C3118"/>
    <w:rsid w:val="009F4295"/>
    <w:rsid w:val="00A254D7"/>
    <w:rsid w:val="00A9181F"/>
    <w:rsid w:val="00AC6BC5"/>
    <w:rsid w:val="00AD42A0"/>
    <w:rsid w:val="00AF077D"/>
    <w:rsid w:val="00B45604"/>
    <w:rsid w:val="00B57D8F"/>
    <w:rsid w:val="00B87DA5"/>
    <w:rsid w:val="00BA43D7"/>
    <w:rsid w:val="00BA6AA6"/>
    <w:rsid w:val="00BC6DE9"/>
    <w:rsid w:val="00C024AA"/>
    <w:rsid w:val="00C36EAD"/>
    <w:rsid w:val="00C72F67"/>
    <w:rsid w:val="00CE3640"/>
    <w:rsid w:val="00D36AB5"/>
    <w:rsid w:val="00D411DB"/>
    <w:rsid w:val="00D47B69"/>
    <w:rsid w:val="00D67D7C"/>
    <w:rsid w:val="00D86206"/>
    <w:rsid w:val="00DA448A"/>
    <w:rsid w:val="00DB48D6"/>
    <w:rsid w:val="00DE3942"/>
    <w:rsid w:val="00DF148E"/>
    <w:rsid w:val="00E66A81"/>
    <w:rsid w:val="00F0465A"/>
    <w:rsid w:val="00F0702F"/>
    <w:rsid w:val="00F10B17"/>
    <w:rsid w:val="00F7027C"/>
    <w:rsid w:val="00F91EF4"/>
    <w:rsid w:val="018C3347"/>
    <w:rsid w:val="01E26E13"/>
    <w:rsid w:val="02080602"/>
    <w:rsid w:val="02236A2D"/>
    <w:rsid w:val="0228792D"/>
    <w:rsid w:val="02337D5E"/>
    <w:rsid w:val="024D7C4F"/>
    <w:rsid w:val="0295376E"/>
    <w:rsid w:val="02A7411A"/>
    <w:rsid w:val="02DD1D82"/>
    <w:rsid w:val="03283E66"/>
    <w:rsid w:val="034E56E4"/>
    <w:rsid w:val="03911937"/>
    <w:rsid w:val="03F5518B"/>
    <w:rsid w:val="04627B62"/>
    <w:rsid w:val="04765D9A"/>
    <w:rsid w:val="047E57F8"/>
    <w:rsid w:val="04E52883"/>
    <w:rsid w:val="054E6BBE"/>
    <w:rsid w:val="05566333"/>
    <w:rsid w:val="05B56F54"/>
    <w:rsid w:val="066540C0"/>
    <w:rsid w:val="071425AC"/>
    <w:rsid w:val="076A05B7"/>
    <w:rsid w:val="07AB37E1"/>
    <w:rsid w:val="07DA4A41"/>
    <w:rsid w:val="07F24924"/>
    <w:rsid w:val="084C3C0E"/>
    <w:rsid w:val="087F7A0D"/>
    <w:rsid w:val="08801D44"/>
    <w:rsid w:val="09087A19"/>
    <w:rsid w:val="092404C2"/>
    <w:rsid w:val="096042D5"/>
    <w:rsid w:val="09AF5174"/>
    <w:rsid w:val="09B117BE"/>
    <w:rsid w:val="09E5683E"/>
    <w:rsid w:val="0A6E32EF"/>
    <w:rsid w:val="0A776D5E"/>
    <w:rsid w:val="0A867BA7"/>
    <w:rsid w:val="0AF911F6"/>
    <w:rsid w:val="0B5B50E0"/>
    <w:rsid w:val="0B707ABF"/>
    <w:rsid w:val="0B84340E"/>
    <w:rsid w:val="0B8F486F"/>
    <w:rsid w:val="0BB40EBE"/>
    <w:rsid w:val="0BCF2538"/>
    <w:rsid w:val="0BDC24D3"/>
    <w:rsid w:val="0C227C53"/>
    <w:rsid w:val="0C663843"/>
    <w:rsid w:val="0C7558CE"/>
    <w:rsid w:val="0CC10B35"/>
    <w:rsid w:val="0D3C64AD"/>
    <w:rsid w:val="0D4169A0"/>
    <w:rsid w:val="0D7F4011"/>
    <w:rsid w:val="0D82791D"/>
    <w:rsid w:val="0DA27072"/>
    <w:rsid w:val="0DC272F6"/>
    <w:rsid w:val="0DD97527"/>
    <w:rsid w:val="0DDA5F7B"/>
    <w:rsid w:val="0E7F1371"/>
    <w:rsid w:val="0EC460C4"/>
    <w:rsid w:val="0ECF2631"/>
    <w:rsid w:val="0F051EFD"/>
    <w:rsid w:val="0F352787"/>
    <w:rsid w:val="0F75151F"/>
    <w:rsid w:val="0FBA16E6"/>
    <w:rsid w:val="102C1FB4"/>
    <w:rsid w:val="10923277"/>
    <w:rsid w:val="10970015"/>
    <w:rsid w:val="11005218"/>
    <w:rsid w:val="11134290"/>
    <w:rsid w:val="112072B0"/>
    <w:rsid w:val="114250AA"/>
    <w:rsid w:val="117914F2"/>
    <w:rsid w:val="11A35469"/>
    <w:rsid w:val="11EE67DD"/>
    <w:rsid w:val="11F40A00"/>
    <w:rsid w:val="11F767B9"/>
    <w:rsid w:val="12D7683C"/>
    <w:rsid w:val="130F58D1"/>
    <w:rsid w:val="13CC3F7D"/>
    <w:rsid w:val="13E36266"/>
    <w:rsid w:val="14414395"/>
    <w:rsid w:val="14B41546"/>
    <w:rsid w:val="152A5C1F"/>
    <w:rsid w:val="154870C9"/>
    <w:rsid w:val="158E3660"/>
    <w:rsid w:val="15AF0092"/>
    <w:rsid w:val="15C8440E"/>
    <w:rsid w:val="15E4039D"/>
    <w:rsid w:val="1603491D"/>
    <w:rsid w:val="16135D45"/>
    <w:rsid w:val="16970BEB"/>
    <w:rsid w:val="16A9428C"/>
    <w:rsid w:val="16E95E43"/>
    <w:rsid w:val="17042369"/>
    <w:rsid w:val="1766090D"/>
    <w:rsid w:val="176E019E"/>
    <w:rsid w:val="178414A3"/>
    <w:rsid w:val="184649FF"/>
    <w:rsid w:val="18543A50"/>
    <w:rsid w:val="186F2B24"/>
    <w:rsid w:val="18B14EFC"/>
    <w:rsid w:val="18E4467F"/>
    <w:rsid w:val="1900163B"/>
    <w:rsid w:val="190C63A9"/>
    <w:rsid w:val="194B37E2"/>
    <w:rsid w:val="19587BE9"/>
    <w:rsid w:val="195C27BC"/>
    <w:rsid w:val="19A84479"/>
    <w:rsid w:val="1AFB6BB4"/>
    <w:rsid w:val="1B1D5997"/>
    <w:rsid w:val="1B6850B7"/>
    <w:rsid w:val="1B8F0CAA"/>
    <w:rsid w:val="1BBB05F2"/>
    <w:rsid w:val="1BE0058C"/>
    <w:rsid w:val="1C3B4A07"/>
    <w:rsid w:val="1CA56039"/>
    <w:rsid w:val="1D227A1E"/>
    <w:rsid w:val="1D491235"/>
    <w:rsid w:val="1DAD51B9"/>
    <w:rsid w:val="1E031F4A"/>
    <w:rsid w:val="1E251349"/>
    <w:rsid w:val="1E513DF6"/>
    <w:rsid w:val="1E6A0C46"/>
    <w:rsid w:val="1E6D227A"/>
    <w:rsid w:val="1E8675A4"/>
    <w:rsid w:val="1E9B542F"/>
    <w:rsid w:val="1EF232DF"/>
    <w:rsid w:val="1F1C23BC"/>
    <w:rsid w:val="1F2173C4"/>
    <w:rsid w:val="1F906FE9"/>
    <w:rsid w:val="1FBA74BA"/>
    <w:rsid w:val="206D2F18"/>
    <w:rsid w:val="20E81DB2"/>
    <w:rsid w:val="210C1902"/>
    <w:rsid w:val="21271554"/>
    <w:rsid w:val="215668F6"/>
    <w:rsid w:val="217B13A2"/>
    <w:rsid w:val="21BE314E"/>
    <w:rsid w:val="21FA53B1"/>
    <w:rsid w:val="22685EEB"/>
    <w:rsid w:val="227E7820"/>
    <w:rsid w:val="22A13ED2"/>
    <w:rsid w:val="22F060AD"/>
    <w:rsid w:val="235F751B"/>
    <w:rsid w:val="23A46C3C"/>
    <w:rsid w:val="23DE0850"/>
    <w:rsid w:val="241E6A70"/>
    <w:rsid w:val="242D2305"/>
    <w:rsid w:val="24EE7A2A"/>
    <w:rsid w:val="25383CBB"/>
    <w:rsid w:val="25AC58E7"/>
    <w:rsid w:val="25FD2782"/>
    <w:rsid w:val="2608137A"/>
    <w:rsid w:val="260C5A93"/>
    <w:rsid w:val="260E7826"/>
    <w:rsid w:val="263F3DDE"/>
    <w:rsid w:val="26516255"/>
    <w:rsid w:val="2653474B"/>
    <w:rsid w:val="26A710CA"/>
    <w:rsid w:val="26E637A1"/>
    <w:rsid w:val="274575A8"/>
    <w:rsid w:val="27946555"/>
    <w:rsid w:val="27FE56D7"/>
    <w:rsid w:val="281D4778"/>
    <w:rsid w:val="28884164"/>
    <w:rsid w:val="2889662A"/>
    <w:rsid w:val="288E3550"/>
    <w:rsid w:val="28D84212"/>
    <w:rsid w:val="2A51185B"/>
    <w:rsid w:val="2A595E31"/>
    <w:rsid w:val="2B3B5E8E"/>
    <w:rsid w:val="2BCA4C0E"/>
    <w:rsid w:val="2BF03B60"/>
    <w:rsid w:val="2C050624"/>
    <w:rsid w:val="2C4230BB"/>
    <w:rsid w:val="2C744FA4"/>
    <w:rsid w:val="2CCA165C"/>
    <w:rsid w:val="2CD735C1"/>
    <w:rsid w:val="2CF80F17"/>
    <w:rsid w:val="2D946DE9"/>
    <w:rsid w:val="2E147525"/>
    <w:rsid w:val="2E413A35"/>
    <w:rsid w:val="2E445980"/>
    <w:rsid w:val="2ED82AE8"/>
    <w:rsid w:val="2EDA4EED"/>
    <w:rsid w:val="2EDB0E5E"/>
    <w:rsid w:val="2F3B3374"/>
    <w:rsid w:val="2F6B476F"/>
    <w:rsid w:val="2F883052"/>
    <w:rsid w:val="2FF64721"/>
    <w:rsid w:val="30300B7B"/>
    <w:rsid w:val="30386007"/>
    <w:rsid w:val="30426116"/>
    <w:rsid w:val="30631374"/>
    <w:rsid w:val="308F172A"/>
    <w:rsid w:val="30B25B06"/>
    <w:rsid w:val="30B641E9"/>
    <w:rsid w:val="30CD620C"/>
    <w:rsid w:val="31106082"/>
    <w:rsid w:val="31235353"/>
    <w:rsid w:val="313A0F3E"/>
    <w:rsid w:val="31D62B8D"/>
    <w:rsid w:val="31F27B92"/>
    <w:rsid w:val="323B03C3"/>
    <w:rsid w:val="323E01A5"/>
    <w:rsid w:val="324D4480"/>
    <w:rsid w:val="333032D1"/>
    <w:rsid w:val="33554A5B"/>
    <w:rsid w:val="33A206D0"/>
    <w:rsid w:val="33D25351"/>
    <w:rsid w:val="340133D0"/>
    <w:rsid w:val="340753C2"/>
    <w:rsid w:val="344B7971"/>
    <w:rsid w:val="346F2735"/>
    <w:rsid w:val="34D662D0"/>
    <w:rsid w:val="34F25062"/>
    <w:rsid w:val="35103167"/>
    <w:rsid w:val="35730DF1"/>
    <w:rsid w:val="35752012"/>
    <w:rsid w:val="35973A7F"/>
    <w:rsid w:val="35996381"/>
    <w:rsid w:val="35CB7C14"/>
    <w:rsid w:val="3617704E"/>
    <w:rsid w:val="363A5F85"/>
    <w:rsid w:val="364953B3"/>
    <w:rsid w:val="3653481E"/>
    <w:rsid w:val="37485FB7"/>
    <w:rsid w:val="37B02914"/>
    <w:rsid w:val="37D474C1"/>
    <w:rsid w:val="37F37950"/>
    <w:rsid w:val="380B590F"/>
    <w:rsid w:val="38284D53"/>
    <w:rsid w:val="384337C7"/>
    <w:rsid w:val="38460ECD"/>
    <w:rsid w:val="385F71BD"/>
    <w:rsid w:val="38B736F4"/>
    <w:rsid w:val="38CB34E9"/>
    <w:rsid w:val="38E6720D"/>
    <w:rsid w:val="39B721AE"/>
    <w:rsid w:val="39D27D83"/>
    <w:rsid w:val="39E1284B"/>
    <w:rsid w:val="3A2E5A73"/>
    <w:rsid w:val="3A7A5CE0"/>
    <w:rsid w:val="3ADA376E"/>
    <w:rsid w:val="3B0A58AC"/>
    <w:rsid w:val="3B3A1AA6"/>
    <w:rsid w:val="3B3C0364"/>
    <w:rsid w:val="3B524F24"/>
    <w:rsid w:val="3B6B5986"/>
    <w:rsid w:val="3BAE3EFA"/>
    <w:rsid w:val="3BFD598F"/>
    <w:rsid w:val="3CAC61BB"/>
    <w:rsid w:val="3CCA27E7"/>
    <w:rsid w:val="3CDE06C5"/>
    <w:rsid w:val="3D027EA7"/>
    <w:rsid w:val="3D3C2E81"/>
    <w:rsid w:val="3D6B4536"/>
    <w:rsid w:val="3DA14AF9"/>
    <w:rsid w:val="3DCF4B5B"/>
    <w:rsid w:val="3DE41A76"/>
    <w:rsid w:val="3DEA3F0F"/>
    <w:rsid w:val="3E0E66F9"/>
    <w:rsid w:val="3EE80939"/>
    <w:rsid w:val="3F124E81"/>
    <w:rsid w:val="3F48716D"/>
    <w:rsid w:val="3F530914"/>
    <w:rsid w:val="3F8B6636"/>
    <w:rsid w:val="3F8C3BF2"/>
    <w:rsid w:val="3FBA6601"/>
    <w:rsid w:val="3FE5566E"/>
    <w:rsid w:val="400033E5"/>
    <w:rsid w:val="402534A2"/>
    <w:rsid w:val="40330E10"/>
    <w:rsid w:val="408B0EE2"/>
    <w:rsid w:val="40CA51E3"/>
    <w:rsid w:val="40DE4290"/>
    <w:rsid w:val="40EB47D1"/>
    <w:rsid w:val="41F475A9"/>
    <w:rsid w:val="421C5FBC"/>
    <w:rsid w:val="4261478F"/>
    <w:rsid w:val="42FA74F8"/>
    <w:rsid w:val="43B71578"/>
    <w:rsid w:val="43BA3C72"/>
    <w:rsid w:val="43D17E34"/>
    <w:rsid w:val="44422176"/>
    <w:rsid w:val="44516478"/>
    <w:rsid w:val="44844681"/>
    <w:rsid w:val="44984233"/>
    <w:rsid w:val="44A64594"/>
    <w:rsid w:val="44C7759A"/>
    <w:rsid w:val="44D81C9B"/>
    <w:rsid w:val="44FA06A6"/>
    <w:rsid w:val="45153531"/>
    <w:rsid w:val="45274EAC"/>
    <w:rsid w:val="452C087D"/>
    <w:rsid w:val="455D4569"/>
    <w:rsid w:val="45864CC2"/>
    <w:rsid w:val="45A1285B"/>
    <w:rsid w:val="45E00E84"/>
    <w:rsid w:val="4690117C"/>
    <w:rsid w:val="46F11BE0"/>
    <w:rsid w:val="485B5AFD"/>
    <w:rsid w:val="48C17F47"/>
    <w:rsid w:val="492362AE"/>
    <w:rsid w:val="492B363C"/>
    <w:rsid w:val="49E16782"/>
    <w:rsid w:val="4A225386"/>
    <w:rsid w:val="4A472218"/>
    <w:rsid w:val="4A79125F"/>
    <w:rsid w:val="4A89218C"/>
    <w:rsid w:val="4B2167A6"/>
    <w:rsid w:val="4B2626E1"/>
    <w:rsid w:val="4B4C0EED"/>
    <w:rsid w:val="4BA2550A"/>
    <w:rsid w:val="4BDF7FB0"/>
    <w:rsid w:val="4C3F7C8C"/>
    <w:rsid w:val="4C5A1F0E"/>
    <w:rsid w:val="4C922DCE"/>
    <w:rsid w:val="4C9E4FA5"/>
    <w:rsid w:val="4D00654D"/>
    <w:rsid w:val="4D1D0717"/>
    <w:rsid w:val="4D2F7ECE"/>
    <w:rsid w:val="4D4B57FB"/>
    <w:rsid w:val="4DA87FA2"/>
    <w:rsid w:val="4DCE4758"/>
    <w:rsid w:val="4E140144"/>
    <w:rsid w:val="4E344EE8"/>
    <w:rsid w:val="4E6118E0"/>
    <w:rsid w:val="4E782C61"/>
    <w:rsid w:val="4ED07B3E"/>
    <w:rsid w:val="4EDE3399"/>
    <w:rsid w:val="4EF61257"/>
    <w:rsid w:val="4F4F085B"/>
    <w:rsid w:val="50560138"/>
    <w:rsid w:val="509D3EF6"/>
    <w:rsid w:val="50A347C0"/>
    <w:rsid w:val="50C2788F"/>
    <w:rsid w:val="50C56158"/>
    <w:rsid w:val="50FD599A"/>
    <w:rsid w:val="511F0DA7"/>
    <w:rsid w:val="5185591A"/>
    <w:rsid w:val="51B4103A"/>
    <w:rsid w:val="51CE201A"/>
    <w:rsid w:val="51E9505C"/>
    <w:rsid w:val="52300AFF"/>
    <w:rsid w:val="524A0FC1"/>
    <w:rsid w:val="52874CE6"/>
    <w:rsid w:val="52AD2A13"/>
    <w:rsid w:val="52CA3262"/>
    <w:rsid w:val="52DD5C46"/>
    <w:rsid w:val="53027A85"/>
    <w:rsid w:val="535A2065"/>
    <w:rsid w:val="536063AA"/>
    <w:rsid w:val="536E6364"/>
    <w:rsid w:val="5399547E"/>
    <w:rsid w:val="53B46C90"/>
    <w:rsid w:val="53C95CB4"/>
    <w:rsid w:val="53D67ED7"/>
    <w:rsid w:val="54157971"/>
    <w:rsid w:val="5482088F"/>
    <w:rsid w:val="54915F18"/>
    <w:rsid w:val="54B76A9E"/>
    <w:rsid w:val="55156422"/>
    <w:rsid w:val="5527586A"/>
    <w:rsid w:val="55623C00"/>
    <w:rsid w:val="55762511"/>
    <w:rsid w:val="55A22BBD"/>
    <w:rsid w:val="55AF147F"/>
    <w:rsid w:val="56594F6C"/>
    <w:rsid w:val="56E67A70"/>
    <w:rsid w:val="56F7629D"/>
    <w:rsid w:val="572139C5"/>
    <w:rsid w:val="57323268"/>
    <w:rsid w:val="577A1728"/>
    <w:rsid w:val="579D2E03"/>
    <w:rsid w:val="57B04C62"/>
    <w:rsid w:val="57B82373"/>
    <w:rsid w:val="57C1442F"/>
    <w:rsid w:val="57E91AFA"/>
    <w:rsid w:val="58B806FB"/>
    <w:rsid w:val="594C1B75"/>
    <w:rsid w:val="59A453EC"/>
    <w:rsid w:val="5A7375FA"/>
    <w:rsid w:val="5ABB7080"/>
    <w:rsid w:val="5ADB682F"/>
    <w:rsid w:val="5B4832AB"/>
    <w:rsid w:val="5B7C5649"/>
    <w:rsid w:val="5BBF3201"/>
    <w:rsid w:val="5BE937F8"/>
    <w:rsid w:val="5C7A2B74"/>
    <w:rsid w:val="5C9873F9"/>
    <w:rsid w:val="5CB31599"/>
    <w:rsid w:val="5CD30C36"/>
    <w:rsid w:val="5DA2039C"/>
    <w:rsid w:val="5DA96515"/>
    <w:rsid w:val="5DFD5ACE"/>
    <w:rsid w:val="5E900A64"/>
    <w:rsid w:val="5E9947E3"/>
    <w:rsid w:val="5EB64433"/>
    <w:rsid w:val="5EC86B3E"/>
    <w:rsid w:val="5EEE658E"/>
    <w:rsid w:val="5EF0720D"/>
    <w:rsid w:val="5F262E7D"/>
    <w:rsid w:val="5F681BA5"/>
    <w:rsid w:val="5FCA126D"/>
    <w:rsid w:val="5FCA6316"/>
    <w:rsid w:val="607405FE"/>
    <w:rsid w:val="60D81F7C"/>
    <w:rsid w:val="60F4202C"/>
    <w:rsid w:val="610E2D61"/>
    <w:rsid w:val="61223036"/>
    <w:rsid w:val="618D446A"/>
    <w:rsid w:val="62541118"/>
    <w:rsid w:val="62F95FC4"/>
    <w:rsid w:val="630F38E0"/>
    <w:rsid w:val="63120562"/>
    <w:rsid w:val="632C77B7"/>
    <w:rsid w:val="636823CC"/>
    <w:rsid w:val="63976DC4"/>
    <w:rsid w:val="63B1482E"/>
    <w:rsid w:val="63C0448F"/>
    <w:rsid w:val="64131A03"/>
    <w:rsid w:val="646F32D2"/>
    <w:rsid w:val="64761AF1"/>
    <w:rsid w:val="64A7292A"/>
    <w:rsid w:val="64CC5F9C"/>
    <w:rsid w:val="65C46E78"/>
    <w:rsid w:val="66126D93"/>
    <w:rsid w:val="66437914"/>
    <w:rsid w:val="66BE00C4"/>
    <w:rsid w:val="66FA4BDC"/>
    <w:rsid w:val="671C406C"/>
    <w:rsid w:val="67562CC0"/>
    <w:rsid w:val="67813C26"/>
    <w:rsid w:val="678E50EA"/>
    <w:rsid w:val="67AF4374"/>
    <w:rsid w:val="67B241F5"/>
    <w:rsid w:val="67D53874"/>
    <w:rsid w:val="68295465"/>
    <w:rsid w:val="68505987"/>
    <w:rsid w:val="687958F6"/>
    <w:rsid w:val="688C657C"/>
    <w:rsid w:val="68B324D0"/>
    <w:rsid w:val="68E5699C"/>
    <w:rsid w:val="68FF16FA"/>
    <w:rsid w:val="692E2FF9"/>
    <w:rsid w:val="69F90CB0"/>
    <w:rsid w:val="6A214A00"/>
    <w:rsid w:val="6A75687D"/>
    <w:rsid w:val="6A942FB3"/>
    <w:rsid w:val="6A972059"/>
    <w:rsid w:val="6A9A5ECD"/>
    <w:rsid w:val="6AA57C19"/>
    <w:rsid w:val="6AFF361C"/>
    <w:rsid w:val="6B186A4B"/>
    <w:rsid w:val="6B7317D0"/>
    <w:rsid w:val="6B7D5F3D"/>
    <w:rsid w:val="6B933D36"/>
    <w:rsid w:val="6B9906E3"/>
    <w:rsid w:val="6B9F6EFC"/>
    <w:rsid w:val="6BB35B2A"/>
    <w:rsid w:val="6C3B786C"/>
    <w:rsid w:val="6CB21D20"/>
    <w:rsid w:val="6CEA263C"/>
    <w:rsid w:val="6D2D3F17"/>
    <w:rsid w:val="6D4857FA"/>
    <w:rsid w:val="6D6E6365"/>
    <w:rsid w:val="6DA315E1"/>
    <w:rsid w:val="6DB6446F"/>
    <w:rsid w:val="6DF32AB3"/>
    <w:rsid w:val="6E0F7911"/>
    <w:rsid w:val="6E3801AF"/>
    <w:rsid w:val="6E8503FB"/>
    <w:rsid w:val="6ED3250B"/>
    <w:rsid w:val="6EE12E7B"/>
    <w:rsid w:val="6F040965"/>
    <w:rsid w:val="6F8C7210"/>
    <w:rsid w:val="6FA73ADA"/>
    <w:rsid w:val="6FC253D2"/>
    <w:rsid w:val="70A2099B"/>
    <w:rsid w:val="70AF3BF8"/>
    <w:rsid w:val="70D7760C"/>
    <w:rsid w:val="70D954E9"/>
    <w:rsid w:val="710D5E33"/>
    <w:rsid w:val="716519A0"/>
    <w:rsid w:val="717044C2"/>
    <w:rsid w:val="71720C8B"/>
    <w:rsid w:val="718D7E64"/>
    <w:rsid w:val="71903BEA"/>
    <w:rsid w:val="72450AA8"/>
    <w:rsid w:val="7253110E"/>
    <w:rsid w:val="7260114D"/>
    <w:rsid w:val="728D608A"/>
    <w:rsid w:val="729C64FB"/>
    <w:rsid w:val="729F4672"/>
    <w:rsid w:val="73BE3858"/>
    <w:rsid w:val="756C11C8"/>
    <w:rsid w:val="75B30D0B"/>
    <w:rsid w:val="762D2719"/>
    <w:rsid w:val="766C3963"/>
    <w:rsid w:val="77C45F40"/>
    <w:rsid w:val="786C5892"/>
    <w:rsid w:val="78DA22CA"/>
    <w:rsid w:val="790E1DFA"/>
    <w:rsid w:val="79210B3D"/>
    <w:rsid w:val="794143C4"/>
    <w:rsid w:val="795A50D7"/>
    <w:rsid w:val="79941CDD"/>
    <w:rsid w:val="79D97279"/>
    <w:rsid w:val="79EA1B35"/>
    <w:rsid w:val="79F22564"/>
    <w:rsid w:val="79FB2D8F"/>
    <w:rsid w:val="7A200AA4"/>
    <w:rsid w:val="7A303196"/>
    <w:rsid w:val="7A3B3EEA"/>
    <w:rsid w:val="7A671D31"/>
    <w:rsid w:val="7A787DEB"/>
    <w:rsid w:val="7A9660DA"/>
    <w:rsid w:val="7AE05CE5"/>
    <w:rsid w:val="7AFD01C0"/>
    <w:rsid w:val="7B310291"/>
    <w:rsid w:val="7B3F696F"/>
    <w:rsid w:val="7B4A2DD1"/>
    <w:rsid w:val="7BA46B88"/>
    <w:rsid w:val="7BA71C34"/>
    <w:rsid w:val="7BD90007"/>
    <w:rsid w:val="7BE13143"/>
    <w:rsid w:val="7BFA2AF7"/>
    <w:rsid w:val="7C3252B6"/>
    <w:rsid w:val="7C88514B"/>
    <w:rsid w:val="7C932FE8"/>
    <w:rsid w:val="7CBC20A5"/>
    <w:rsid w:val="7CC6493B"/>
    <w:rsid w:val="7D357E99"/>
    <w:rsid w:val="7D517B6D"/>
    <w:rsid w:val="7D603005"/>
    <w:rsid w:val="7DED7906"/>
    <w:rsid w:val="7DFE737C"/>
    <w:rsid w:val="7E7637B2"/>
    <w:rsid w:val="7EEA2A0B"/>
    <w:rsid w:val="7F6358E7"/>
    <w:rsid w:val="7F640640"/>
    <w:rsid w:val="7F767868"/>
    <w:rsid w:val="7F803A08"/>
    <w:rsid w:val="7FD078B6"/>
    <w:rsid w:val="7FF872C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semiHidden="0"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1"/>
    <w:pPr>
      <w:spacing w:before="56"/>
      <w:ind w:left="220"/>
      <w:outlineLvl w:val="0"/>
    </w:pPr>
    <w:rPr>
      <w:rFonts w:ascii="新宋体" w:hAnsi="新宋体" w:eastAsia="新宋体" w:cs="新宋体"/>
      <w:b/>
      <w:bCs/>
      <w:sz w:val="32"/>
      <w:szCs w:val="32"/>
      <w:lang w:val="zh-CN" w:eastAsia="zh-CN" w:bidi="zh-CN"/>
    </w:rPr>
  </w:style>
  <w:style w:type="paragraph" w:styleId="2">
    <w:name w:val="heading 2"/>
    <w:basedOn w:val="1"/>
    <w:next w:val="1"/>
    <w:qFormat/>
    <w:uiPriority w:val="9"/>
    <w:pPr>
      <w:keepNext/>
      <w:keepLines/>
      <w:spacing w:before="100" w:beforeLines="0" w:beforeAutospacing="1" w:after="100" w:afterLines="0" w:afterAutospacing="1" w:line="360" w:lineRule="auto"/>
      <w:outlineLvl w:val="1"/>
    </w:pPr>
    <w:rPr>
      <w:rFonts w:ascii="Arial" w:hAnsi="Arial" w:eastAsia="黑体"/>
      <w:b/>
      <w:bCs/>
      <w:sz w:val="36"/>
      <w:szCs w:val="32"/>
    </w:rPr>
  </w:style>
  <w:style w:type="paragraph" w:styleId="4">
    <w:name w:val="heading 3"/>
    <w:basedOn w:val="1"/>
    <w:next w:val="1"/>
    <w:qFormat/>
    <w:uiPriority w:val="9"/>
    <w:pPr>
      <w:keepNext/>
      <w:keepLines/>
      <w:spacing w:before="260" w:after="260" w:line="416" w:lineRule="auto"/>
      <w:outlineLvl w:val="2"/>
    </w:pPr>
    <w:rPr>
      <w:b/>
      <w:bCs/>
      <w:sz w:val="32"/>
      <w:szCs w:val="32"/>
    </w:rPr>
  </w:style>
  <w:style w:type="paragraph" w:styleId="5">
    <w:name w:val="heading 4"/>
    <w:basedOn w:val="1"/>
    <w:next w:val="1"/>
    <w:link w:val="25"/>
    <w:qFormat/>
    <w:uiPriority w:val="9"/>
    <w:pPr>
      <w:numPr>
        <w:ilvl w:val="1"/>
        <w:numId w:val="1"/>
      </w:numPr>
      <w:spacing w:line="360" w:lineRule="auto"/>
      <w:outlineLvl w:val="3"/>
    </w:pPr>
    <w:rPr>
      <w:rFonts w:ascii="Arial" w:hAnsi="Arial" w:eastAsia="宋体"/>
      <w:bCs/>
      <w:kern w:val="2"/>
      <w:sz w:val="24"/>
      <w:szCs w:val="28"/>
      <w:lang w:val="en-US" w:eastAsia="zh-CN" w:bidi="ar-SA"/>
    </w:rPr>
  </w:style>
  <w:style w:type="character" w:default="1" w:styleId="20">
    <w:name w:val="Default Paragraph Font"/>
    <w:unhideWhenUsed/>
    <w:qFormat/>
    <w:uiPriority w:val="0"/>
  </w:style>
  <w:style w:type="table" w:default="1" w:styleId="18">
    <w:name w:val="Normal Table"/>
    <w:unhideWhenUsed/>
    <w:uiPriority w:val="99"/>
    <w:tblPr>
      <w:tblCellMar>
        <w:top w:w="0" w:type="dxa"/>
        <w:left w:w="108" w:type="dxa"/>
        <w:bottom w:w="0" w:type="dxa"/>
        <w:right w:w="108" w:type="dxa"/>
      </w:tblCellMar>
    </w:tblPr>
  </w:style>
  <w:style w:type="paragraph" w:styleId="6">
    <w:name w:val="Normal Indent"/>
    <w:basedOn w:val="1"/>
    <w:unhideWhenUsed/>
    <w:uiPriority w:val="99"/>
    <w:pPr>
      <w:adjustRightInd w:val="0"/>
      <w:ind w:firstLine="420"/>
      <w:jc w:val="left"/>
      <w:textAlignment w:val="baseline"/>
    </w:pPr>
    <w:rPr>
      <w:rFonts w:eastAsia="楷体_GB2312"/>
      <w:sz w:val="24"/>
      <w:szCs w:val="20"/>
    </w:rPr>
  </w:style>
  <w:style w:type="paragraph" w:styleId="7">
    <w:name w:val="Body Text 3"/>
    <w:basedOn w:val="1"/>
    <w:qFormat/>
    <w:uiPriority w:val="0"/>
    <w:pPr>
      <w:jc w:val="center"/>
    </w:pPr>
    <w:rPr>
      <w:rFonts w:eastAsia="黑体"/>
      <w:b/>
      <w:bCs/>
      <w:sz w:val="48"/>
    </w:rPr>
  </w:style>
  <w:style w:type="paragraph" w:styleId="8">
    <w:name w:val="Body Text"/>
    <w:basedOn w:val="1"/>
    <w:qFormat/>
    <w:uiPriority w:val="1"/>
    <w:rPr>
      <w:rFonts w:ascii="宋体" w:hAnsi="宋体" w:eastAsia="宋体" w:cs="宋体"/>
      <w:sz w:val="21"/>
      <w:szCs w:val="21"/>
      <w:lang w:val="zh-CN" w:eastAsia="zh-CN" w:bidi="zh-CN"/>
    </w:rPr>
  </w:style>
  <w:style w:type="paragraph" w:styleId="9">
    <w:name w:val="Body Text Indent"/>
    <w:basedOn w:val="1"/>
    <w:qFormat/>
    <w:uiPriority w:val="0"/>
    <w:pPr>
      <w:ind w:firstLine="560" w:firstLineChars="200"/>
    </w:pPr>
    <w:rPr>
      <w:rFonts w:ascii="仿宋_GB2312" w:hAnsi="宋体" w:eastAsia="仿宋_GB2312"/>
      <w:sz w:val="28"/>
    </w:rPr>
  </w:style>
  <w:style w:type="paragraph" w:styleId="10">
    <w:name w:val="toc 3"/>
    <w:basedOn w:val="1"/>
    <w:next w:val="1"/>
    <w:unhideWhenUsed/>
    <w:uiPriority w:val="39"/>
    <w:pPr>
      <w:ind w:left="840" w:leftChars="400"/>
    </w:pPr>
  </w:style>
  <w:style w:type="paragraph" w:styleId="11">
    <w:name w:val="Plain Text"/>
    <w:basedOn w:val="1"/>
    <w:link w:val="26"/>
    <w:unhideWhenUsed/>
    <w:qFormat/>
    <w:uiPriority w:val="0"/>
    <w:rPr>
      <w:rFonts w:ascii="宋体" w:hAnsi="Courier New" w:cs="Courier New"/>
      <w:szCs w:val="21"/>
    </w:rPr>
  </w:style>
  <w:style w:type="paragraph" w:styleId="12">
    <w:name w:val="Date"/>
    <w:basedOn w:val="1"/>
    <w:next w:val="1"/>
    <w:unhideWhenUsed/>
    <w:qFormat/>
    <w:uiPriority w:val="99"/>
    <w:pPr>
      <w:adjustRightInd w:val="0"/>
      <w:spacing w:line="360" w:lineRule="atLeast"/>
      <w:ind w:firstLine="200" w:firstLineChars="200"/>
      <w:textAlignment w:val="baseline"/>
    </w:pPr>
    <w:rPr>
      <w:rFonts w:eastAsia="宋体"/>
      <w:sz w:val="28"/>
      <w:lang w:val="en-US" w:eastAsia="zh-CN" w:bidi="ar-SA"/>
    </w:rPr>
  </w:style>
  <w:style w:type="paragraph" w:styleId="13">
    <w:name w:val="footer"/>
    <w:basedOn w:val="1"/>
    <w:unhideWhenUsed/>
    <w:qFormat/>
    <w:uiPriority w:val="0"/>
    <w:pPr>
      <w:tabs>
        <w:tab w:val="center" w:pos="4153"/>
        <w:tab w:val="right" w:pos="8306"/>
      </w:tabs>
      <w:snapToGrid w:val="0"/>
      <w:jc w:val="left"/>
    </w:pPr>
    <w:rPr>
      <w:sz w:val="18"/>
    </w:rPr>
  </w:style>
  <w:style w:type="paragraph" w:styleId="14">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5">
    <w:name w:val="toc 1"/>
    <w:basedOn w:val="1"/>
    <w:next w:val="1"/>
    <w:unhideWhenUsed/>
    <w:qFormat/>
    <w:uiPriority w:val="39"/>
    <w:pPr>
      <w:spacing w:before="120" w:beforeLines="0" w:after="120" w:afterLines="0"/>
      <w:jc w:val="left"/>
    </w:pPr>
    <w:rPr>
      <w:b/>
      <w:bCs/>
      <w:caps/>
      <w:sz w:val="20"/>
      <w:szCs w:val="20"/>
    </w:rPr>
  </w:style>
  <w:style w:type="paragraph" w:styleId="16">
    <w:name w:val="toc 2"/>
    <w:basedOn w:val="1"/>
    <w:next w:val="1"/>
    <w:unhideWhenUsed/>
    <w:qFormat/>
    <w:uiPriority w:val="39"/>
    <w:pPr>
      <w:ind w:left="210"/>
      <w:jc w:val="left"/>
    </w:pPr>
    <w:rPr>
      <w:smallCaps/>
      <w:sz w:val="20"/>
      <w:szCs w:val="20"/>
    </w:rPr>
  </w:style>
  <w:style w:type="paragraph" w:styleId="17">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19">
    <w:name w:val="Table Grid"/>
    <w:basedOn w:val="1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rPr>
  </w:style>
  <w:style w:type="character" w:styleId="22">
    <w:name w:val="page number"/>
    <w:basedOn w:val="20"/>
    <w:unhideWhenUsed/>
    <w:qFormat/>
    <w:uiPriority w:val="99"/>
  </w:style>
  <w:style w:type="character" w:styleId="23">
    <w:name w:val="FollowedHyperlink"/>
    <w:basedOn w:val="20"/>
    <w:unhideWhenUsed/>
    <w:qFormat/>
    <w:uiPriority w:val="99"/>
    <w:rPr>
      <w:color w:val="000000"/>
      <w:u w:val="none"/>
    </w:rPr>
  </w:style>
  <w:style w:type="character" w:styleId="24">
    <w:name w:val="Hyperlink"/>
    <w:basedOn w:val="20"/>
    <w:unhideWhenUsed/>
    <w:qFormat/>
    <w:uiPriority w:val="99"/>
    <w:rPr>
      <w:color w:val="000000"/>
      <w:u w:val="none"/>
    </w:rPr>
  </w:style>
  <w:style w:type="character" w:customStyle="1" w:styleId="25">
    <w:name w:val="标题 4 Char"/>
    <w:basedOn w:val="20"/>
    <w:link w:val="5"/>
    <w:qFormat/>
    <w:uiPriority w:val="0"/>
    <w:rPr>
      <w:rFonts w:ascii="Arial" w:hAnsi="Arial" w:eastAsia="宋体"/>
      <w:bCs/>
      <w:kern w:val="2"/>
      <w:sz w:val="24"/>
      <w:szCs w:val="28"/>
      <w:lang w:val="en-US" w:eastAsia="zh-CN" w:bidi="ar-SA"/>
    </w:rPr>
  </w:style>
  <w:style w:type="character" w:customStyle="1" w:styleId="26">
    <w:name w:val="纯文本 Char"/>
    <w:link w:val="11"/>
    <w:uiPriority w:val="0"/>
    <w:rPr>
      <w:rFonts w:ascii="宋体" w:hAnsi="Courier New" w:eastAsia="宋体" w:cs="Courier New"/>
      <w:kern w:val="2"/>
      <w:sz w:val="21"/>
      <w:szCs w:val="21"/>
      <w:lang w:val="en-US" w:eastAsia="zh-CN" w:bidi="ar-SA"/>
    </w:rPr>
  </w:style>
  <w:style w:type="character" w:customStyle="1" w:styleId="27">
    <w:name w:val="Body text|2 + Arial"/>
    <w:basedOn w:val="28"/>
    <w:unhideWhenUsed/>
    <w:qFormat/>
    <w:uiPriority w:val="0"/>
    <w:rPr>
      <w:rFonts w:ascii="Arial" w:hAnsi="Arial" w:eastAsia="Arial" w:cs="Arial"/>
      <w:color w:val="000000"/>
      <w:spacing w:val="0"/>
      <w:w w:val="100"/>
      <w:position w:val="0"/>
      <w:lang w:val="en-US" w:eastAsia="en-US" w:bidi="en-US"/>
    </w:rPr>
  </w:style>
  <w:style w:type="character" w:customStyle="1" w:styleId="28">
    <w:name w:val="Body text|2_"/>
    <w:basedOn w:val="20"/>
    <w:link w:val="29"/>
    <w:qFormat/>
    <w:uiPriority w:val="0"/>
    <w:rPr>
      <w:rFonts w:ascii="PMingLiU" w:hAnsi="PMingLiU" w:eastAsia="PMingLiU" w:cs="PMingLiU"/>
      <w:spacing w:val="30"/>
      <w:sz w:val="30"/>
      <w:szCs w:val="30"/>
      <w:u w:val="none"/>
    </w:rPr>
  </w:style>
  <w:style w:type="paragraph" w:customStyle="1" w:styleId="29">
    <w:name w:val="Body text|2"/>
    <w:basedOn w:val="1"/>
    <w:link w:val="28"/>
    <w:qFormat/>
    <w:uiPriority w:val="0"/>
    <w:pPr>
      <w:widowControl w:val="0"/>
      <w:shd w:val="clear" w:color="auto" w:fill="FFFFFF"/>
      <w:spacing w:before="200" w:after="1520" w:line="300" w:lineRule="exact"/>
      <w:jc w:val="center"/>
    </w:pPr>
    <w:rPr>
      <w:rFonts w:ascii="PMingLiU" w:hAnsi="PMingLiU" w:eastAsia="PMingLiU" w:cs="PMingLiU"/>
      <w:spacing w:val="30"/>
      <w:sz w:val="30"/>
      <w:szCs w:val="30"/>
      <w:u w:val="none"/>
    </w:rPr>
  </w:style>
  <w:style w:type="character" w:customStyle="1" w:styleId="30">
    <w:name w:val="Body text|2 + 8.5 pt"/>
    <w:basedOn w:val="28"/>
    <w:unhideWhenUsed/>
    <w:qFormat/>
    <w:uiPriority w:val="0"/>
    <w:rPr>
      <w:color w:val="000000"/>
      <w:spacing w:val="0"/>
      <w:w w:val="100"/>
      <w:position w:val="0"/>
      <w:sz w:val="17"/>
      <w:szCs w:val="17"/>
      <w:lang w:val="en-US" w:eastAsia="en-US" w:bidi="en-US"/>
    </w:rPr>
  </w:style>
  <w:style w:type="character" w:customStyle="1" w:styleId="31">
    <w:name w:val="font71"/>
    <w:basedOn w:val="20"/>
    <w:qFormat/>
    <w:uiPriority w:val="0"/>
    <w:rPr>
      <w:rFonts w:hint="eastAsia" w:ascii="宋体" w:hAnsi="宋体" w:eastAsia="宋体" w:cs="宋体"/>
      <w:b/>
      <w:color w:val="000000"/>
      <w:sz w:val="40"/>
      <w:szCs w:val="40"/>
      <w:u w:val="single"/>
    </w:rPr>
  </w:style>
  <w:style w:type="character" w:customStyle="1" w:styleId="32">
    <w:name w:val="Body text|2 + Courier New"/>
    <w:basedOn w:val="28"/>
    <w:unhideWhenUsed/>
    <w:qFormat/>
    <w:uiPriority w:val="0"/>
    <w:rPr>
      <w:rFonts w:ascii="Courier New" w:hAnsi="Courier New" w:eastAsia="Courier New" w:cs="Courier New"/>
      <w:color w:val="000000"/>
      <w:spacing w:val="0"/>
      <w:w w:val="66"/>
      <w:position w:val="0"/>
      <w:sz w:val="38"/>
      <w:szCs w:val="38"/>
      <w:lang w:val="en-US" w:eastAsia="en-US" w:bidi="en-US"/>
    </w:rPr>
  </w:style>
  <w:style w:type="character" w:customStyle="1" w:styleId="33">
    <w:name w:val="font01"/>
    <w:qFormat/>
    <w:uiPriority w:val="0"/>
    <w:rPr>
      <w:rFonts w:hint="eastAsia" w:ascii="宋体" w:hAnsi="宋体" w:eastAsia="宋体" w:cs="宋体"/>
      <w:color w:val="000000"/>
      <w:sz w:val="20"/>
      <w:szCs w:val="20"/>
      <w:u w:val="none"/>
    </w:rPr>
  </w:style>
  <w:style w:type="character" w:customStyle="1" w:styleId="34">
    <w:name w:val="font41"/>
    <w:basedOn w:val="20"/>
    <w:qFormat/>
    <w:uiPriority w:val="0"/>
    <w:rPr>
      <w:rFonts w:hint="eastAsia" w:ascii="宋体" w:hAnsi="宋体" w:eastAsia="宋体" w:cs="宋体"/>
      <w:b/>
      <w:color w:val="000000"/>
      <w:sz w:val="40"/>
      <w:szCs w:val="40"/>
      <w:u w:val="none"/>
    </w:rPr>
  </w:style>
  <w:style w:type="paragraph" w:customStyle="1" w:styleId="35">
    <w:name w:val="表内"/>
    <w:basedOn w:val="1"/>
    <w:qFormat/>
    <w:uiPriority w:val="0"/>
    <w:pPr>
      <w:spacing w:line="300" w:lineRule="auto"/>
    </w:pPr>
    <w:rPr>
      <w:bCs/>
      <w:kern w:val="0"/>
      <w:szCs w:val="21"/>
      <w:lang w:eastAsia="zh-TW"/>
    </w:rPr>
  </w:style>
  <w:style w:type="paragraph" w:customStyle="1" w:styleId="36">
    <w:name w:val="Plain Text"/>
    <w:basedOn w:val="1"/>
    <w:qFormat/>
    <w:uiPriority w:val="0"/>
    <w:pPr>
      <w:adjustRightInd w:val="0"/>
      <w:textAlignment w:val="baseline"/>
    </w:pPr>
    <w:rPr>
      <w:rFonts w:ascii="宋体" w:hAnsi="Courier New" w:eastAsia="楷体_GB2312"/>
      <w:sz w:val="28"/>
      <w:szCs w:val="20"/>
    </w:rPr>
  </w:style>
  <w:style w:type="paragraph" w:customStyle="1" w:styleId="37">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38">
    <w:name w:val=" Char Char Char Char Char Char Char Char Char Char"/>
    <w:basedOn w:val="1"/>
    <w:qFormat/>
    <w:uiPriority w:val="0"/>
    <w:pPr>
      <w:adjustRightInd w:val="0"/>
      <w:spacing w:line="360" w:lineRule="auto"/>
    </w:pPr>
  </w:style>
  <w:style w:type="paragraph" w:customStyle="1" w:styleId="39">
    <w:name w:val="p0"/>
    <w:basedOn w:val="1"/>
    <w:uiPriority w:val="0"/>
    <w:pPr>
      <w:widowControl/>
    </w:pPr>
    <w:rPr>
      <w:kern w:val="0"/>
      <w:szCs w:val="21"/>
    </w:rPr>
  </w:style>
  <w:style w:type="paragraph" w:customStyle="1" w:styleId="40">
    <w:name w:val="Table Paragraph"/>
    <w:basedOn w:val="1"/>
    <w:qFormat/>
    <w:uiPriority w:val="1"/>
    <w:rPr>
      <w:rFonts w:ascii="宋体" w:hAnsi="宋体" w:eastAsia="宋体" w:cs="宋体"/>
      <w:lang w:val="zh-CN" w:eastAsia="zh-CN" w:bidi="zh-CN"/>
    </w:rPr>
  </w:style>
  <w:style w:type="paragraph" w:customStyle="1" w:styleId="4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77</Pages>
  <Words>31085</Words>
  <Characters>33352</Characters>
  <Lines>250</Lines>
  <Paragraphs>70</Paragraphs>
  <TotalTime>157257605</TotalTime>
  <ScaleCrop>false</ScaleCrop>
  <LinksUpToDate>false</LinksUpToDate>
  <CharactersWithSpaces>36799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2015-05-02T06:41:00Z</dcterms:created>
  <dc:creator>lenovo</dc:creator>
  <cp:lastModifiedBy>汪汪汪富贵儿</cp:lastModifiedBy>
  <cp:lastPrinted>2022-05-18T01:39:00Z</cp:lastPrinted>
  <dcterms:modified xsi:type="dcterms:W3CDTF">2023-07-25T09:53:41Z</dcterms:modified>
  <dc:title>目   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eyJoZGlkIjoiZmNjMjFjYTM5YzgyZTVmYjBiMmYyZjYwMDg2MGFlMmYifQ==</vt:lpwstr>
  </property>
  <property fmtid="{D5CDD505-2E9C-101B-9397-08002B2CF9AE}" pid="3" name="ICV">
    <vt:lpwstr>635E714313E541CE8910241A66366061_13</vt:lpwstr>
  </property>
  <property fmtid="{D5CDD505-2E9C-101B-9397-08002B2CF9AE}" pid="4" name="KSOProductBuildVer">
    <vt:lpwstr>2052-11.1.0.14309</vt:lpwstr>
  </property>
</Properties>
</file>