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宋体" w:hAnsi="宋体"/>
          <w:b/>
          <w:color w:val="auto"/>
          <w:sz w:val="56"/>
          <w:szCs w:val="56"/>
        </w:rPr>
      </w:pPr>
      <w:r>
        <w:rPr>
          <w:rFonts w:hint="eastAsia" w:ascii="宋体" w:hAnsi="宋体"/>
          <w:b/>
          <w:color w:val="auto"/>
          <w:sz w:val="56"/>
          <w:szCs w:val="56"/>
        </w:rPr>
        <w:t xml:space="preserve"> </w:t>
      </w:r>
    </w:p>
    <w:p>
      <w:pPr>
        <w:spacing w:line="360" w:lineRule="auto"/>
        <w:jc w:val="both"/>
        <w:rPr>
          <w:rFonts w:ascii="宋体" w:hAnsi="宋体"/>
          <w:b/>
          <w:bCs/>
          <w:color w:val="auto"/>
          <w:sz w:val="84"/>
          <w:szCs w:val="84"/>
        </w:rPr>
      </w:pPr>
    </w:p>
    <w:p>
      <w:pPr>
        <w:spacing w:line="360" w:lineRule="auto"/>
        <w:jc w:val="center"/>
        <w:rPr>
          <w:rFonts w:ascii="宋体" w:hAnsi="宋体"/>
          <w:b/>
          <w:bCs/>
          <w:color w:val="auto"/>
          <w:sz w:val="84"/>
          <w:szCs w:val="84"/>
        </w:rPr>
      </w:pPr>
      <w:r>
        <w:rPr>
          <w:rFonts w:hint="eastAsia" w:ascii="宋体" w:hAnsi="宋体"/>
          <w:b/>
          <w:bCs/>
          <w:color w:val="auto"/>
          <w:sz w:val="84"/>
          <w:szCs w:val="84"/>
        </w:rPr>
        <w:t>竞争性谈判文件</w:t>
      </w:r>
    </w:p>
    <w:p>
      <w:pPr>
        <w:spacing w:line="360" w:lineRule="auto"/>
        <w:rPr>
          <w:rFonts w:ascii="宋体" w:hAnsi="宋体"/>
          <w:b/>
          <w:color w:val="auto"/>
          <w:sz w:val="36"/>
          <w:szCs w:val="36"/>
          <w:u w:val="single"/>
        </w:rPr>
      </w:pPr>
    </w:p>
    <w:p>
      <w:pPr>
        <w:spacing w:line="360" w:lineRule="auto"/>
        <w:rPr>
          <w:rFonts w:ascii="宋体" w:hAnsi="宋体"/>
          <w:b/>
          <w:color w:val="auto"/>
          <w:sz w:val="36"/>
          <w:szCs w:val="36"/>
          <w:u w:val="single"/>
        </w:rPr>
      </w:pPr>
    </w:p>
    <w:p>
      <w:pPr>
        <w:spacing w:line="360" w:lineRule="auto"/>
        <w:rPr>
          <w:rFonts w:ascii="宋体" w:hAnsi="宋体"/>
          <w:b/>
          <w:color w:val="auto"/>
          <w:sz w:val="36"/>
          <w:szCs w:val="36"/>
          <w:u w:val="single"/>
        </w:rPr>
      </w:pPr>
    </w:p>
    <w:p>
      <w:pPr>
        <w:spacing w:line="360" w:lineRule="auto"/>
        <w:rPr>
          <w:rFonts w:ascii="宋体" w:hAnsi="宋体"/>
          <w:b/>
          <w:color w:val="auto"/>
          <w:sz w:val="36"/>
          <w:szCs w:val="36"/>
        </w:rPr>
      </w:pPr>
      <w:r>
        <w:rPr>
          <w:rFonts w:hint="eastAsia" w:ascii="宋体" w:hAnsi="宋体"/>
          <w:b/>
          <w:color w:val="auto"/>
          <w:sz w:val="36"/>
          <w:szCs w:val="36"/>
        </w:rPr>
        <w:t xml:space="preserve">   </w:t>
      </w:r>
    </w:p>
    <w:p>
      <w:pPr>
        <w:tabs>
          <w:tab w:val="left" w:pos="630"/>
        </w:tabs>
        <w:autoSpaceDE w:val="0"/>
        <w:autoSpaceDN w:val="0"/>
        <w:spacing w:line="360" w:lineRule="auto"/>
        <w:ind w:left="0" w:leftChars="0" w:firstLine="421" w:firstLineChars="131"/>
        <w:textAlignment w:val="bottom"/>
        <w:rPr>
          <w:rFonts w:hint="eastAsia" w:ascii="宋体" w:hAnsi="宋体" w:eastAsia="宋体"/>
          <w:b/>
          <w:color w:val="auto"/>
          <w:sz w:val="32"/>
          <w:szCs w:val="32"/>
          <w:lang w:eastAsia="zh-CN"/>
        </w:rPr>
      </w:pPr>
      <w:r>
        <w:rPr>
          <w:rFonts w:hint="eastAsia" w:ascii="宋体" w:hAnsi="宋体"/>
          <w:b/>
          <w:color w:val="auto"/>
          <w:sz w:val="32"/>
          <w:szCs w:val="32"/>
        </w:rPr>
        <w:t>采 购 人：</w:t>
      </w:r>
      <w:r>
        <w:rPr>
          <w:rFonts w:hint="eastAsia" w:ascii="宋体" w:hAnsi="宋体"/>
          <w:b/>
          <w:color w:val="auto"/>
          <w:sz w:val="32"/>
          <w:szCs w:val="32"/>
          <w:lang w:eastAsia="zh-CN"/>
        </w:rPr>
        <w:t>白沙黎族自治县公安局</w:t>
      </w:r>
    </w:p>
    <w:p>
      <w:pPr>
        <w:spacing w:line="360" w:lineRule="auto"/>
        <w:ind w:left="0" w:leftChars="0" w:firstLine="421" w:firstLineChars="131"/>
        <w:rPr>
          <w:rFonts w:hint="eastAsia" w:ascii="宋体" w:hAnsi="宋体" w:eastAsia="宋体"/>
          <w:b/>
          <w:color w:val="auto"/>
          <w:sz w:val="32"/>
          <w:szCs w:val="32"/>
          <w:lang w:eastAsia="zh-CN"/>
        </w:rPr>
      </w:pPr>
      <w:r>
        <w:rPr>
          <w:rFonts w:hint="eastAsia" w:ascii="宋体" w:hAnsi="宋体"/>
          <w:b/>
          <w:color w:val="auto"/>
          <w:sz w:val="32"/>
          <w:szCs w:val="32"/>
        </w:rPr>
        <w:t>项目名称：</w:t>
      </w:r>
      <w:r>
        <w:rPr>
          <w:rFonts w:hint="eastAsia" w:ascii="宋体" w:hAnsi="宋体"/>
          <w:b/>
          <w:color w:val="auto"/>
          <w:sz w:val="32"/>
          <w:szCs w:val="32"/>
          <w:lang w:eastAsia="zh-CN"/>
        </w:rPr>
        <w:t>白沙黎族自治县公安局特种技术用车采购项目</w:t>
      </w:r>
    </w:p>
    <w:p>
      <w:pPr>
        <w:spacing w:line="360" w:lineRule="auto"/>
        <w:ind w:left="0" w:leftChars="0" w:firstLine="421" w:firstLineChars="131"/>
        <w:rPr>
          <w:rFonts w:hint="eastAsia" w:ascii="宋体" w:hAnsi="宋体"/>
          <w:b/>
          <w:color w:val="auto"/>
          <w:sz w:val="32"/>
          <w:szCs w:val="32"/>
          <w:lang w:eastAsia="zh-CN"/>
        </w:rPr>
      </w:pPr>
      <w:r>
        <w:rPr>
          <w:rFonts w:hint="eastAsia" w:ascii="宋体" w:hAnsi="宋体"/>
          <w:b/>
          <w:color w:val="auto"/>
          <w:sz w:val="32"/>
          <w:szCs w:val="32"/>
        </w:rPr>
        <w:t>项目编号：</w:t>
      </w:r>
      <w:r>
        <w:rPr>
          <w:rFonts w:hint="eastAsia" w:ascii="宋体" w:hAnsi="宋体"/>
          <w:b/>
          <w:color w:val="auto"/>
          <w:sz w:val="32"/>
          <w:szCs w:val="32"/>
          <w:lang w:eastAsia="zh-CN"/>
        </w:rPr>
        <w:t>HNZC2023-ZB-055</w:t>
      </w:r>
    </w:p>
    <w:p>
      <w:pPr>
        <w:spacing w:line="360" w:lineRule="auto"/>
        <w:ind w:left="0" w:leftChars="0" w:firstLine="421" w:firstLineChars="131"/>
        <w:rPr>
          <w:rFonts w:hint="eastAsia" w:ascii="宋体" w:hAnsi="宋体" w:eastAsia="宋体"/>
          <w:b/>
          <w:color w:val="auto"/>
          <w:sz w:val="32"/>
          <w:szCs w:val="32"/>
          <w:lang w:eastAsia="zh-CN"/>
        </w:rPr>
      </w:pPr>
      <w:r>
        <w:rPr>
          <w:rFonts w:hint="eastAsia" w:ascii="宋体" w:hAnsi="宋体"/>
          <w:b/>
          <w:color w:val="auto"/>
          <w:sz w:val="32"/>
          <w:szCs w:val="32"/>
        </w:rPr>
        <w:t>代理机构：</w:t>
      </w:r>
      <w:r>
        <w:rPr>
          <w:rFonts w:hint="eastAsia" w:ascii="宋体" w:hAnsi="宋体"/>
          <w:b/>
          <w:color w:val="auto"/>
          <w:sz w:val="32"/>
          <w:szCs w:val="32"/>
          <w:lang w:eastAsia="zh-CN"/>
        </w:rPr>
        <w:t>海南众采招标代理有限公司</w:t>
      </w:r>
    </w:p>
    <w:p>
      <w:pPr>
        <w:spacing w:line="360" w:lineRule="auto"/>
        <w:rPr>
          <w:rFonts w:hint="eastAsia" w:ascii="宋体" w:hAnsi="宋体"/>
          <w:b/>
          <w:color w:val="auto"/>
          <w:sz w:val="36"/>
          <w:szCs w:val="36"/>
        </w:rPr>
      </w:pPr>
      <w:r>
        <w:rPr>
          <w:rFonts w:hint="eastAsia" w:ascii="宋体" w:hAnsi="宋体"/>
          <w:b/>
          <w:color w:val="auto"/>
          <w:sz w:val="36"/>
          <w:szCs w:val="36"/>
        </w:rPr>
        <w:t xml:space="preserve">               </w:t>
      </w:r>
    </w:p>
    <w:p>
      <w:pPr>
        <w:spacing w:line="360" w:lineRule="auto"/>
        <w:rPr>
          <w:rFonts w:hint="eastAsia" w:ascii="宋体" w:hAnsi="宋体"/>
          <w:b/>
          <w:color w:val="auto"/>
          <w:sz w:val="36"/>
          <w:szCs w:val="36"/>
        </w:rPr>
      </w:pPr>
    </w:p>
    <w:p>
      <w:pPr>
        <w:spacing w:line="360" w:lineRule="auto"/>
        <w:jc w:val="center"/>
        <w:rPr>
          <w:rFonts w:hint="eastAsia" w:ascii="宋体" w:hAnsi="宋体"/>
          <w:b/>
          <w:color w:val="auto"/>
          <w:sz w:val="36"/>
          <w:szCs w:val="36"/>
        </w:rPr>
      </w:pPr>
    </w:p>
    <w:p>
      <w:pPr>
        <w:spacing w:line="360" w:lineRule="auto"/>
        <w:jc w:val="center"/>
        <w:rPr>
          <w:color w:val="auto"/>
        </w:rPr>
      </w:pPr>
      <w:r>
        <w:rPr>
          <w:rFonts w:hint="eastAsia" w:ascii="宋体" w:hAnsi="宋体"/>
          <w:b/>
          <w:color w:val="auto"/>
          <w:sz w:val="36"/>
          <w:szCs w:val="36"/>
          <w:lang w:eastAsia="zh-CN"/>
        </w:rPr>
        <w:t>2023年</w:t>
      </w:r>
      <w:r>
        <w:rPr>
          <w:rFonts w:hint="eastAsia" w:ascii="宋体" w:hAnsi="宋体"/>
          <w:b/>
          <w:color w:val="auto"/>
          <w:sz w:val="36"/>
          <w:szCs w:val="36"/>
          <w:lang w:val="en-US" w:eastAsia="zh-CN"/>
        </w:rPr>
        <w:t>08</w:t>
      </w:r>
      <w:r>
        <w:rPr>
          <w:rFonts w:hint="eastAsia" w:ascii="宋体" w:hAnsi="宋体"/>
          <w:b/>
          <w:color w:val="auto"/>
          <w:sz w:val="32"/>
          <w:szCs w:val="32"/>
        </w:rPr>
        <w:t>月</w:t>
      </w:r>
    </w:p>
    <w:p>
      <w:pPr>
        <w:spacing w:line="360" w:lineRule="auto"/>
        <w:jc w:val="center"/>
        <w:rPr>
          <w:rFonts w:hint="eastAsia"/>
          <w:color w:val="auto"/>
          <w:sz w:val="36"/>
          <w:szCs w:val="36"/>
        </w:rPr>
      </w:pPr>
    </w:p>
    <w:p>
      <w:pPr>
        <w:spacing w:line="360" w:lineRule="auto"/>
        <w:jc w:val="center"/>
        <w:rPr>
          <w:rFonts w:hint="eastAsia"/>
          <w:color w:val="auto"/>
          <w:sz w:val="36"/>
          <w:szCs w:val="36"/>
        </w:rPr>
      </w:pPr>
    </w:p>
    <w:p>
      <w:pPr>
        <w:rPr>
          <w:rFonts w:hint="eastAsia"/>
          <w:color w:val="auto"/>
          <w:sz w:val="36"/>
          <w:szCs w:val="36"/>
        </w:rPr>
      </w:pPr>
      <w:r>
        <w:rPr>
          <w:rFonts w:hint="eastAsia"/>
          <w:color w:val="auto"/>
          <w:sz w:val="36"/>
          <w:szCs w:val="36"/>
        </w:rPr>
        <w:br w:type="page"/>
      </w:r>
    </w:p>
    <w:p>
      <w:pPr>
        <w:spacing w:line="360" w:lineRule="auto"/>
        <w:jc w:val="center"/>
        <w:rPr>
          <w:color w:val="auto"/>
          <w:sz w:val="36"/>
          <w:szCs w:val="36"/>
        </w:rPr>
      </w:pPr>
      <w:r>
        <w:rPr>
          <w:rFonts w:hint="eastAsia"/>
          <w:color w:val="auto"/>
          <w:sz w:val="36"/>
          <w:szCs w:val="36"/>
        </w:rPr>
        <w:t>目 录</w:t>
      </w:r>
    </w:p>
    <w:p>
      <w:pPr>
        <w:pStyle w:val="113"/>
        <w:spacing w:line="360" w:lineRule="auto"/>
        <w:rPr>
          <w:color w:val="auto"/>
        </w:rPr>
      </w:pPr>
    </w:p>
    <w:p>
      <w:pPr>
        <w:pStyle w:val="19"/>
        <w:spacing w:line="360" w:lineRule="auto"/>
        <w:rPr>
          <w:rStyle w:val="33"/>
          <w:rFonts w:cs="黑体"/>
          <w:b w:val="0"/>
          <w:bCs w:val="0"/>
          <w:color w:val="auto"/>
          <w:sz w:val="32"/>
          <w:szCs w:val="32"/>
        </w:rPr>
      </w:pPr>
      <w:r>
        <w:rPr>
          <w:color w:val="auto"/>
        </w:rPr>
        <w:fldChar w:fldCharType="begin"/>
      </w:r>
      <w:r>
        <w:rPr>
          <w:color w:val="auto"/>
        </w:rPr>
        <w:instrText xml:space="preserve"> TOC \o "1-3" \h \z \u </w:instrText>
      </w:r>
      <w:r>
        <w:rPr>
          <w:color w:val="auto"/>
        </w:rPr>
        <w:fldChar w:fldCharType="separate"/>
      </w:r>
      <w:r>
        <w:rPr>
          <w:color w:val="auto"/>
        </w:rPr>
        <w:fldChar w:fldCharType="begin"/>
      </w:r>
      <w:r>
        <w:rPr>
          <w:color w:val="auto"/>
        </w:rPr>
        <w:instrText xml:space="preserve"> HYPERLINK \l "_Toc1660483" </w:instrText>
      </w:r>
      <w:r>
        <w:rPr>
          <w:color w:val="auto"/>
        </w:rPr>
        <w:fldChar w:fldCharType="separate"/>
      </w:r>
      <w:r>
        <w:rPr>
          <w:rStyle w:val="33"/>
          <w:rFonts w:cs="黑体"/>
          <w:b w:val="0"/>
          <w:bCs w:val="0"/>
          <w:color w:val="auto"/>
          <w:sz w:val="32"/>
          <w:szCs w:val="32"/>
        </w:rPr>
        <w:t>第一章</w:t>
      </w:r>
      <w:r>
        <w:rPr>
          <w:rStyle w:val="33"/>
          <w:rFonts w:hint="eastAsia" w:cs="黑体"/>
          <w:b w:val="0"/>
          <w:bCs w:val="0"/>
          <w:color w:val="auto"/>
          <w:sz w:val="32"/>
          <w:szCs w:val="32"/>
        </w:rPr>
        <w:t>、</w:t>
      </w:r>
      <w:r>
        <w:rPr>
          <w:rStyle w:val="33"/>
          <w:rFonts w:cs="黑体"/>
          <w:b w:val="0"/>
          <w:bCs w:val="0"/>
          <w:color w:val="auto"/>
          <w:sz w:val="32"/>
          <w:szCs w:val="32"/>
        </w:rPr>
        <w:t>谈判邀请函</w:t>
      </w:r>
      <w:r>
        <w:rPr>
          <w:rStyle w:val="33"/>
          <w:rFonts w:cs="黑体"/>
          <w:b w:val="0"/>
          <w:bCs w:val="0"/>
          <w:color w:val="auto"/>
          <w:sz w:val="32"/>
          <w:szCs w:val="32"/>
        </w:rPr>
        <w:tab/>
      </w:r>
      <w:r>
        <w:rPr>
          <w:rStyle w:val="33"/>
          <w:rFonts w:cs="黑体"/>
          <w:b w:val="0"/>
          <w:bCs w:val="0"/>
          <w:color w:val="auto"/>
          <w:sz w:val="32"/>
          <w:szCs w:val="32"/>
        </w:rPr>
        <w:fldChar w:fldCharType="begin"/>
      </w:r>
      <w:r>
        <w:rPr>
          <w:rStyle w:val="33"/>
          <w:rFonts w:cs="黑体"/>
          <w:b w:val="0"/>
          <w:bCs w:val="0"/>
          <w:color w:val="auto"/>
          <w:sz w:val="32"/>
          <w:szCs w:val="32"/>
        </w:rPr>
        <w:instrText xml:space="preserve"> PAGEREF _Toc1660483 \h </w:instrText>
      </w:r>
      <w:r>
        <w:rPr>
          <w:rStyle w:val="33"/>
          <w:rFonts w:cs="黑体"/>
          <w:b w:val="0"/>
          <w:bCs w:val="0"/>
          <w:color w:val="auto"/>
          <w:sz w:val="32"/>
          <w:szCs w:val="32"/>
        </w:rPr>
        <w:fldChar w:fldCharType="separate"/>
      </w:r>
      <w:r>
        <w:rPr>
          <w:rStyle w:val="33"/>
          <w:rFonts w:cs="黑体"/>
          <w:b w:val="0"/>
          <w:bCs w:val="0"/>
          <w:color w:val="auto"/>
          <w:sz w:val="32"/>
          <w:szCs w:val="32"/>
        </w:rPr>
        <w:t>1</w:t>
      </w:r>
      <w:r>
        <w:rPr>
          <w:rStyle w:val="33"/>
          <w:rFonts w:cs="黑体"/>
          <w:b w:val="0"/>
          <w:bCs w:val="0"/>
          <w:color w:val="auto"/>
          <w:sz w:val="32"/>
          <w:szCs w:val="32"/>
        </w:rPr>
        <w:fldChar w:fldCharType="end"/>
      </w:r>
      <w:r>
        <w:rPr>
          <w:rStyle w:val="33"/>
          <w:rFonts w:cs="黑体"/>
          <w:b w:val="0"/>
          <w:bCs w:val="0"/>
          <w:color w:val="auto"/>
          <w:sz w:val="32"/>
          <w:szCs w:val="32"/>
        </w:rPr>
        <w:fldChar w:fldCharType="end"/>
      </w:r>
    </w:p>
    <w:p>
      <w:pPr>
        <w:pStyle w:val="20"/>
        <w:spacing w:line="360" w:lineRule="auto"/>
        <w:ind w:left="0" w:leftChars="0"/>
        <w:jc w:val="both"/>
        <w:rPr>
          <w:rStyle w:val="33"/>
          <w:rFonts w:cs="黑体"/>
          <w:color w:val="auto"/>
        </w:rPr>
      </w:pPr>
      <w:r>
        <w:rPr>
          <w:color w:val="auto"/>
        </w:rPr>
        <w:fldChar w:fldCharType="begin"/>
      </w:r>
      <w:r>
        <w:rPr>
          <w:color w:val="auto"/>
        </w:rPr>
        <w:instrText xml:space="preserve"> HYPERLINK \l "_Toc1660484" </w:instrText>
      </w:r>
      <w:r>
        <w:rPr>
          <w:color w:val="auto"/>
        </w:rPr>
        <w:fldChar w:fldCharType="separate"/>
      </w:r>
      <w:r>
        <w:rPr>
          <w:rStyle w:val="33"/>
          <w:rFonts w:ascii="宋体" w:hAnsi="宋体" w:eastAsia="宋体" w:cs="黑体"/>
          <w:color w:val="auto"/>
        </w:rPr>
        <w:t>第二章</w:t>
      </w:r>
      <w:r>
        <w:rPr>
          <w:rStyle w:val="33"/>
          <w:rFonts w:hint="eastAsia" w:ascii="宋体" w:hAnsi="宋体" w:eastAsia="宋体" w:cs="黑体"/>
          <w:color w:val="auto"/>
        </w:rPr>
        <w:t>、</w:t>
      </w:r>
      <w:r>
        <w:rPr>
          <w:rStyle w:val="33"/>
          <w:rFonts w:ascii="宋体" w:hAnsi="宋体" w:eastAsia="宋体" w:cs="黑体"/>
          <w:color w:val="auto"/>
        </w:rPr>
        <w:t>谈判须知</w:t>
      </w:r>
      <w:r>
        <w:rPr>
          <w:rStyle w:val="33"/>
          <w:rFonts w:ascii="宋体" w:hAnsi="宋体" w:eastAsia="宋体" w:cs="黑体"/>
          <w:color w:val="auto"/>
        </w:rPr>
        <w:tab/>
      </w:r>
      <w:r>
        <w:rPr>
          <w:rStyle w:val="33"/>
          <w:rFonts w:ascii="宋体" w:hAnsi="宋体" w:eastAsia="宋体" w:cs="黑体"/>
          <w:color w:val="auto"/>
        </w:rPr>
        <w:fldChar w:fldCharType="begin"/>
      </w:r>
      <w:r>
        <w:rPr>
          <w:rStyle w:val="33"/>
          <w:rFonts w:ascii="宋体" w:hAnsi="宋体" w:eastAsia="宋体" w:cs="黑体"/>
          <w:color w:val="auto"/>
        </w:rPr>
        <w:instrText xml:space="preserve"> PAGEREF _Toc1660484 \h </w:instrText>
      </w:r>
      <w:r>
        <w:rPr>
          <w:rStyle w:val="33"/>
          <w:rFonts w:ascii="宋体" w:hAnsi="宋体" w:eastAsia="宋体" w:cs="黑体"/>
          <w:color w:val="auto"/>
        </w:rPr>
        <w:fldChar w:fldCharType="separate"/>
      </w:r>
      <w:r>
        <w:rPr>
          <w:rStyle w:val="33"/>
          <w:rFonts w:ascii="宋体" w:hAnsi="宋体" w:eastAsia="宋体" w:cs="黑体"/>
          <w:color w:val="auto"/>
        </w:rPr>
        <w:t>4</w:t>
      </w:r>
      <w:r>
        <w:rPr>
          <w:rStyle w:val="33"/>
          <w:rFonts w:ascii="宋体" w:hAnsi="宋体" w:eastAsia="宋体" w:cs="黑体"/>
          <w:color w:val="auto"/>
        </w:rPr>
        <w:fldChar w:fldCharType="end"/>
      </w:r>
      <w:r>
        <w:rPr>
          <w:rStyle w:val="33"/>
          <w:rFonts w:ascii="宋体" w:hAnsi="宋体" w:eastAsia="宋体" w:cs="黑体"/>
          <w:color w:val="auto"/>
        </w:rPr>
        <w:fldChar w:fldCharType="end"/>
      </w:r>
    </w:p>
    <w:p>
      <w:pPr>
        <w:pStyle w:val="19"/>
        <w:spacing w:line="360" w:lineRule="auto"/>
        <w:rPr>
          <w:rStyle w:val="33"/>
          <w:rFonts w:cs="黑体"/>
          <w:b w:val="0"/>
          <w:color w:val="auto"/>
          <w:sz w:val="32"/>
          <w:szCs w:val="32"/>
        </w:rPr>
      </w:pPr>
      <w:r>
        <w:rPr>
          <w:color w:val="auto"/>
        </w:rPr>
        <w:fldChar w:fldCharType="begin"/>
      </w:r>
      <w:r>
        <w:rPr>
          <w:color w:val="auto"/>
        </w:rPr>
        <w:instrText xml:space="preserve"> HYPERLINK \l "_Toc1660547" </w:instrText>
      </w:r>
      <w:r>
        <w:rPr>
          <w:color w:val="auto"/>
        </w:rPr>
        <w:fldChar w:fldCharType="separate"/>
      </w:r>
      <w:r>
        <w:rPr>
          <w:rStyle w:val="33"/>
          <w:rFonts w:cs="黑体"/>
          <w:b w:val="0"/>
          <w:bCs w:val="0"/>
          <w:color w:val="auto"/>
          <w:sz w:val="32"/>
          <w:szCs w:val="32"/>
        </w:rPr>
        <w:t>第三章、用户需求书</w:t>
      </w:r>
      <w:r>
        <w:rPr>
          <w:rStyle w:val="33"/>
          <w:rFonts w:hint="eastAsia" w:cs="黑体"/>
          <w:b w:val="0"/>
          <w:bCs w:val="0"/>
          <w:color w:val="auto"/>
          <w:lang w:val="en-US" w:eastAsia="zh-CN"/>
        </w:rPr>
        <w:t xml:space="preserve"> </w:t>
      </w:r>
      <w:r>
        <w:rPr>
          <w:rStyle w:val="33"/>
          <w:rFonts w:hint="eastAsia" w:cs="黑体"/>
          <w:color w:val="auto"/>
          <w:lang w:val="en-US" w:eastAsia="zh-CN"/>
        </w:rPr>
        <w:t>.</w:t>
      </w:r>
      <w:r>
        <w:rPr>
          <w:rStyle w:val="33"/>
          <w:rFonts w:cs="黑体"/>
          <w:b w:val="0"/>
          <w:bCs w:val="0"/>
          <w:color w:val="auto"/>
          <w:sz w:val="32"/>
          <w:szCs w:val="32"/>
        </w:rPr>
        <w:fldChar w:fldCharType="end"/>
      </w:r>
      <w:r>
        <w:rPr>
          <w:rStyle w:val="33"/>
          <w:rFonts w:hint="eastAsia" w:cs="黑体"/>
          <w:b w:val="0"/>
          <w:bCs w:val="0"/>
          <w:color w:val="auto"/>
          <w:sz w:val="32"/>
          <w:szCs w:val="32"/>
          <w:lang w:val="en-US" w:eastAsia="zh-CN"/>
        </w:rPr>
        <w:t>.</w:t>
      </w:r>
      <w:r>
        <w:rPr>
          <w:rStyle w:val="33"/>
          <w:rFonts w:ascii="宋体" w:hAnsi="宋体" w:eastAsia="宋体" w:cs="黑体"/>
          <w:b w:val="0"/>
          <w:bCs w:val="0"/>
          <w:color w:val="auto"/>
        </w:rPr>
        <w:tab/>
      </w:r>
      <w:r>
        <w:rPr>
          <w:rStyle w:val="33"/>
          <w:rFonts w:hint="eastAsia" w:cs="黑体"/>
          <w:b w:val="0"/>
          <w:bCs w:val="0"/>
          <w:color w:val="auto"/>
          <w:sz w:val="32"/>
          <w:szCs w:val="32"/>
          <w:lang w:val="en-US" w:eastAsia="zh-CN"/>
        </w:rPr>
        <w:t>.28</w:t>
      </w:r>
    </w:p>
    <w:p>
      <w:pPr>
        <w:pStyle w:val="19"/>
        <w:spacing w:line="360" w:lineRule="auto"/>
        <w:rPr>
          <w:rStyle w:val="33"/>
          <w:rFonts w:hint="eastAsia" w:eastAsia="宋体" w:cs="黑体"/>
          <w:b w:val="0"/>
          <w:color w:val="auto"/>
          <w:sz w:val="32"/>
          <w:szCs w:val="32"/>
          <w:lang w:eastAsia="zh-CN"/>
        </w:rPr>
      </w:pPr>
      <w:r>
        <w:rPr>
          <w:color w:val="auto"/>
        </w:rPr>
        <w:fldChar w:fldCharType="begin"/>
      </w:r>
      <w:r>
        <w:rPr>
          <w:color w:val="auto"/>
        </w:rPr>
        <w:instrText xml:space="preserve"> HYPERLINK \l "_Toc1660548" </w:instrText>
      </w:r>
      <w:r>
        <w:rPr>
          <w:color w:val="auto"/>
        </w:rPr>
        <w:fldChar w:fldCharType="separate"/>
      </w:r>
      <w:r>
        <w:rPr>
          <w:rStyle w:val="33"/>
          <w:rFonts w:cs="黑体"/>
          <w:b w:val="0"/>
          <w:bCs w:val="0"/>
          <w:color w:val="auto"/>
          <w:sz w:val="32"/>
          <w:szCs w:val="32"/>
        </w:rPr>
        <w:t>第四章、合同文本（参考文本）</w:t>
      </w:r>
      <w:r>
        <w:rPr>
          <w:rStyle w:val="33"/>
          <w:rFonts w:cs="黑体"/>
          <w:b w:val="0"/>
          <w:bCs w:val="0"/>
          <w:color w:val="auto"/>
          <w:sz w:val="32"/>
          <w:szCs w:val="32"/>
        </w:rPr>
        <w:tab/>
      </w:r>
      <w:r>
        <w:rPr>
          <w:rStyle w:val="33"/>
          <w:rFonts w:hint="eastAsia" w:cs="黑体"/>
          <w:b w:val="0"/>
          <w:bCs w:val="0"/>
          <w:color w:val="auto"/>
          <w:sz w:val="32"/>
          <w:szCs w:val="32"/>
          <w:lang w:val="en-US" w:eastAsia="zh-CN"/>
        </w:rPr>
        <w:t>33</w:t>
      </w:r>
      <w:r>
        <w:rPr>
          <w:rStyle w:val="33"/>
          <w:rFonts w:hint="eastAsia" w:cs="黑体"/>
          <w:b w:val="0"/>
          <w:bCs w:val="0"/>
          <w:color w:val="auto"/>
          <w:sz w:val="32"/>
          <w:szCs w:val="32"/>
        </w:rPr>
        <w:fldChar w:fldCharType="end"/>
      </w:r>
    </w:p>
    <w:p>
      <w:pPr>
        <w:pStyle w:val="19"/>
        <w:spacing w:line="360" w:lineRule="auto"/>
        <w:rPr>
          <w:rStyle w:val="33"/>
          <w:rFonts w:hint="eastAsia" w:eastAsia="宋体" w:cs="黑体"/>
          <w:b w:val="0"/>
          <w:color w:val="auto"/>
          <w:sz w:val="32"/>
          <w:szCs w:val="32"/>
          <w:lang w:val="en-US" w:eastAsia="zh-CN"/>
        </w:rPr>
      </w:pPr>
      <w:r>
        <w:rPr>
          <w:color w:val="auto"/>
        </w:rPr>
        <w:fldChar w:fldCharType="begin"/>
      </w:r>
      <w:r>
        <w:rPr>
          <w:color w:val="auto"/>
        </w:rPr>
        <w:instrText xml:space="preserve"> HYPERLINK \l "_Toc1660549" </w:instrText>
      </w:r>
      <w:r>
        <w:rPr>
          <w:color w:val="auto"/>
        </w:rPr>
        <w:fldChar w:fldCharType="separate"/>
      </w:r>
      <w:r>
        <w:rPr>
          <w:rStyle w:val="33"/>
          <w:rFonts w:cs="黑体"/>
          <w:b w:val="0"/>
          <w:bCs w:val="0"/>
          <w:color w:val="auto"/>
          <w:sz w:val="32"/>
          <w:szCs w:val="32"/>
        </w:rPr>
        <w:t>第五章、</w:t>
      </w:r>
      <w:r>
        <w:rPr>
          <w:rStyle w:val="33"/>
          <w:rFonts w:hint="eastAsia" w:cs="黑体"/>
          <w:b w:val="0"/>
          <w:bCs w:val="0"/>
          <w:color w:val="auto"/>
          <w:sz w:val="32"/>
          <w:szCs w:val="32"/>
        </w:rPr>
        <w:t>响应</w:t>
      </w:r>
      <w:r>
        <w:rPr>
          <w:rStyle w:val="33"/>
          <w:rFonts w:cs="黑体"/>
          <w:b w:val="0"/>
          <w:bCs w:val="0"/>
          <w:color w:val="auto"/>
          <w:sz w:val="32"/>
          <w:szCs w:val="32"/>
        </w:rPr>
        <w:t>内容和格式</w:t>
      </w:r>
      <w:r>
        <w:rPr>
          <w:rStyle w:val="33"/>
          <w:rFonts w:cs="黑体"/>
          <w:b w:val="0"/>
          <w:bCs w:val="0"/>
          <w:color w:val="auto"/>
          <w:sz w:val="32"/>
          <w:szCs w:val="32"/>
        </w:rPr>
        <w:tab/>
      </w:r>
      <w:r>
        <w:rPr>
          <w:rStyle w:val="33"/>
          <w:rFonts w:hint="eastAsia" w:cs="黑体"/>
          <w:b w:val="0"/>
          <w:bCs w:val="0"/>
          <w:color w:val="auto"/>
          <w:sz w:val="32"/>
          <w:szCs w:val="32"/>
          <w:lang w:val="en-US" w:eastAsia="zh-CN"/>
        </w:rPr>
        <w:t>36</w:t>
      </w:r>
      <w:r>
        <w:rPr>
          <w:rStyle w:val="33"/>
          <w:rFonts w:cs="黑体"/>
          <w:b w:val="0"/>
          <w:bCs w:val="0"/>
          <w:color w:val="auto"/>
          <w:sz w:val="32"/>
          <w:szCs w:val="32"/>
        </w:rPr>
        <w:fldChar w:fldCharType="end"/>
      </w:r>
    </w:p>
    <w:p>
      <w:pPr>
        <w:pStyle w:val="19"/>
        <w:spacing w:line="360" w:lineRule="auto"/>
        <w:rPr>
          <w:rStyle w:val="33"/>
          <w:rFonts w:hint="eastAsia" w:eastAsia="宋体" w:cs="黑体"/>
          <w:b w:val="0"/>
          <w:color w:val="auto"/>
          <w:sz w:val="32"/>
          <w:szCs w:val="32"/>
          <w:lang w:eastAsia="zh-CN"/>
        </w:rPr>
      </w:pPr>
      <w:r>
        <w:rPr>
          <w:color w:val="auto"/>
        </w:rPr>
        <w:fldChar w:fldCharType="begin"/>
      </w:r>
      <w:r>
        <w:rPr>
          <w:color w:val="auto"/>
        </w:rPr>
        <w:instrText xml:space="preserve"> HYPERLINK \l "_Toc1660556" </w:instrText>
      </w:r>
      <w:r>
        <w:rPr>
          <w:color w:val="auto"/>
        </w:rPr>
        <w:fldChar w:fldCharType="separate"/>
      </w:r>
      <w:r>
        <w:rPr>
          <w:rStyle w:val="33"/>
          <w:rFonts w:cs="黑体"/>
          <w:b w:val="0"/>
          <w:bCs w:val="0"/>
          <w:color w:val="auto"/>
          <w:sz w:val="32"/>
          <w:szCs w:val="32"/>
        </w:rPr>
        <w:t>第六章、评审办法</w:t>
      </w:r>
      <w:r>
        <w:rPr>
          <w:rStyle w:val="33"/>
          <w:rFonts w:cs="黑体"/>
          <w:b w:val="0"/>
          <w:bCs w:val="0"/>
          <w:color w:val="auto"/>
          <w:sz w:val="32"/>
          <w:szCs w:val="32"/>
        </w:rPr>
        <w:tab/>
      </w:r>
      <w:r>
        <w:rPr>
          <w:rStyle w:val="33"/>
          <w:rFonts w:hint="eastAsia" w:cs="黑体"/>
          <w:b w:val="0"/>
          <w:bCs w:val="0"/>
          <w:color w:val="auto"/>
          <w:sz w:val="32"/>
          <w:szCs w:val="32"/>
          <w:lang w:val="en-US" w:eastAsia="zh-CN"/>
        </w:rPr>
        <w:t>50</w:t>
      </w:r>
      <w:r>
        <w:rPr>
          <w:rStyle w:val="33"/>
          <w:rFonts w:hint="eastAsia" w:cs="黑体"/>
          <w:b w:val="0"/>
          <w:bCs w:val="0"/>
          <w:color w:val="auto"/>
          <w:sz w:val="32"/>
          <w:szCs w:val="32"/>
        </w:rPr>
        <w:fldChar w:fldCharType="end"/>
      </w:r>
    </w:p>
    <w:p>
      <w:pPr>
        <w:pStyle w:val="20"/>
        <w:spacing w:line="360" w:lineRule="auto"/>
        <w:rPr>
          <w:rFonts w:hint="eastAsia" w:ascii="宋体" w:hAnsi="宋体" w:eastAsia="黑体" w:cs="宋体"/>
          <w:color w:val="auto"/>
          <w:sz w:val="21"/>
          <w:szCs w:val="22"/>
          <w:lang w:eastAsia="zh-CN"/>
        </w:rPr>
      </w:pPr>
      <w:r>
        <w:rPr>
          <w:b w:val="0"/>
          <w:bCs w:val="0"/>
          <w:color w:val="auto"/>
        </w:rPr>
        <w:fldChar w:fldCharType="begin"/>
      </w:r>
      <w:r>
        <w:rPr>
          <w:b w:val="0"/>
          <w:bCs w:val="0"/>
          <w:color w:val="auto"/>
        </w:rPr>
        <w:instrText xml:space="preserve"> HYPERLINK \l "_Toc1660557" </w:instrText>
      </w:r>
      <w:r>
        <w:rPr>
          <w:b w:val="0"/>
          <w:bCs w:val="0"/>
          <w:color w:val="auto"/>
        </w:rPr>
        <w:fldChar w:fldCharType="separate"/>
      </w:r>
      <w:r>
        <w:rPr>
          <w:rStyle w:val="33"/>
          <w:rFonts w:ascii="宋体" w:hAnsi="宋体" w:eastAsia="宋体" w:cs="黑体"/>
          <w:b w:val="0"/>
          <w:bCs w:val="0"/>
          <w:color w:val="auto"/>
        </w:rPr>
        <w:t>附表1、初步审查表</w:t>
      </w:r>
      <w:r>
        <w:rPr>
          <w:rStyle w:val="33"/>
          <w:rFonts w:cs="黑体"/>
          <w:b w:val="0"/>
          <w:bCs w:val="0"/>
          <w:color w:val="auto"/>
        </w:rPr>
        <w:tab/>
      </w:r>
      <w:r>
        <w:rPr>
          <w:rStyle w:val="33"/>
          <w:rFonts w:hint="eastAsia" w:cs="黑体"/>
          <w:b w:val="0"/>
          <w:bCs w:val="0"/>
          <w:color w:val="auto"/>
          <w:lang w:val="en-US" w:eastAsia="zh-CN"/>
        </w:rPr>
        <w:t>53</w:t>
      </w:r>
      <w:r>
        <w:rPr>
          <w:rStyle w:val="33"/>
          <w:rFonts w:hint="eastAsia" w:cs="黑体"/>
          <w:b w:val="0"/>
          <w:bCs w:val="0"/>
          <w:color w:val="auto"/>
        </w:rPr>
        <w:fldChar w:fldCharType="end"/>
      </w:r>
    </w:p>
    <w:p>
      <w:pPr>
        <w:spacing w:line="360" w:lineRule="auto"/>
        <w:rPr>
          <w:color w:val="auto"/>
        </w:rPr>
      </w:pPr>
      <w:r>
        <w:rPr>
          <w:b/>
          <w:bCs/>
          <w:color w:val="auto"/>
          <w:lang w:val="zh-CN"/>
        </w:rPr>
        <w:fldChar w:fldCharType="end"/>
      </w:r>
    </w:p>
    <w:p>
      <w:pPr>
        <w:pStyle w:val="7"/>
        <w:spacing w:line="360" w:lineRule="auto"/>
        <w:jc w:val="center"/>
        <w:rPr>
          <w:rFonts w:hint="eastAsia" w:ascii="宋体" w:hAnsi="宋体" w:eastAsia="宋体" w:cs="黑体"/>
          <w:color w:val="auto"/>
        </w:rPr>
        <w:sectPr>
          <w:headerReference r:id="rId3" w:type="default"/>
          <w:pgSz w:w="11906" w:h="16838"/>
          <w:pgMar w:top="1440" w:right="1800" w:bottom="1440" w:left="1800" w:header="851" w:footer="992" w:gutter="0"/>
          <w:cols w:space="425" w:num="1"/>
          <w:docGrid w:type="lines" w:linePitch="312" w:charSpace="0"/>
        </w:sectPr>
      </w:pPr>
      <w:bookmarkStart w:id="0" w:name="_Toc481157511"/>
      <w:bookmarkStart w:id="1" w:name="_Toc1660483"/>
    </w:p>
    <w:p>
      <w:pPr>
        <w:pStyle w:val="7"/>
        <w:spacing w:line="360" w:lineRule="auto"/>
        <w:jc w:val="center"/>
        <w:rPr>
          <w:rFonts w:ascii="宋体" w:hAnsi="宋体" w:eastAsia="宋体" w:cs="黑体"/>
          <w:color w:val="auto"/>
        </w:rPr>
      </w:pPr>
      <w:r>
        <w:rPr>
          <w:rFonts w:hint="eastAsia" w:ascii="宋体" w:hAnsi="宋体" w:eastAsia="宋体" w:cs="黑体"/>
          <w:color w:val="auto"/>
        </w:rPr>
        <w:t>第一章、谈 判 邀 请 函</w:t>
      </w:r>
      <w:bookmarkEnd w:id="0"/>
      <w:bookmarkEnd w:id="1"/>
    </w:p>
    <w:p>
      <w:pPr>
        <w:pStyle w:val="3"/>
        <w:spacing w:line="360" w:lineRule="auto"/>
        <w:ind w:left="0" w:firstLine="540" w:firstLineChars="225"/>
        <w:rPr>
          <w:rFonts w:ascii="宋体" w:hAnsi="宋体"/>
          <w:color w:val="auto"/>
          <w:kern w:val="28"/>
        </w:rPr>
      </w:pPr>
      <w:r>
        <w:rPr>
          <w:rFonts w:hint="eastAsia" w:ascii="宋体" w:hAnsi="宋体"/>
          <w:color w:val="auto"/>
          <w:lang w:eastAsia="zh-CN"/>
        </w:rPr>
        <w:t>海南众采招标代理有限公司</w:t>
      </w:r>
      <w:r>
        <w:rPr>
          <w:rFonts w:hint="eastAsia" w:ascii="宋体" w:hAnsi="宋体"/>
          <w:color w:val="auto"/>
        </w:rPr>
        <w:t>（招标代理机构）</w:t>
      </w:r>
      <w:r>
        <w:rPr>
          <w:rFonts w:ascii="宋体" w:hAnsi="宋体"/>
          <w:color w:val="auto"/>
        </w:rPr>
        <w:t>受</w:t>
      </w:r>
      <w:r>
        <w:rPr>
          <w:rFonts w:hint="eastAsia" w:ascii="宋体" w:hAnsi="宋体"/>
          <w:color w:val="auto"/>
          <w:lang w:eastAsia="zh-CN"/>
        </w:rPr>
        <w:t>白沙黎族自治县公安局</w:t>
      </w:r>
      <w:r>
        <w:rPr>
          <w:rFonts w:hint="eastAsia" w:ascii="宋体" w:hAnsi="宋体"/>
          <w:color w:val="auto"/>
        </w:rPr>
        <w:t>（“采购人”）的委托，就</w:t>
      </w:r>
      <w:r>
        <w:rPr>
          <w:rFonts w:hint="eastAsia" w:ascii="宋体" w:hAnsi="宋体"/>
          <w:color w:val="auto"/>
          <w:lang w:eastAsia="zh-CN"/>
        </w:rPr>
        <w:t>白沙黎族自治县公安局特种技术用车采购项目</w:t>
      </w:r>
      <w:r>
        <w:rPr>
          <w:rFonts w:hint="eastAsia" w:ascii="宋体" w:hAnsi="宋体"/>
          <w:color w:val="auto"/>
        </w:rPr>
        <w:t>（项目编号：</w:t>
      </w:r>
      <w:r>
        <w:rPr>
          <w:rFonts w:hint="eastAsia" w:ascii="宋体" w:hAnsi="宋体"/>
          <w:color w:val="auto"/>
          <w:lang w:eastAsia="zh-CN"/>
        </w:rPr>
        <w:t>HNZC2023-ZB-055</w:t>
      </w:r>
      <w:r>
        <w:rPr>
          <w:rFonts w:hint="eastAsia" w:ascii="宋体" w:hAnsi="宋体"/>
          <w:color w:val="auto"/>
        </w:rPr>
        <w:t xml:space="preserve">）组织竞争性谈判，欢迎合格的国内供应商提交密封报价。有关事项如下： </w:t>
      </w:r>
    </w:p>
    <w:p>
      <w:pPr>
        <w:spacing w:line="360" w:lineRule="auto"/>
        <w:rPr>
          <w:rFonts w:ascii="宋体" w:hAnsi="宋体"/>
          <w:b/>
          <w:color w:val="auto"/>
          <w:sz w:val="24"/>
          <w:szCs w:val="24"/>
        </w:rPr>
      </w:pPr>
      <w:r>
        <w:rPr>
          <w:rFonts w:hint="eastAsia" w:ascii="宋体" w:hAnsi="宋体"/>
          <w:b/>
          <w:color w:val="auto"/>
          <w:sz w:val="24"/>
          <w:szCs w:val="24"/>
        </w:rPr>
        <w:t>一、招标项目</w:t>
      </w:r>
    </w:p>
    <w:p>
      <w:pPr>
        <w:spacing w:line="360" w:lineRule="auto"/>
        <w:ind w:firstLine="480" w:firstLineChars="200"/>
        <w:rPr>
          <w:rFonts w:hint="eastAsia" w:ascii="宋体" w:hAnsi="宋体"/>
          <w:color w:val="auto"/>
          <w:kern w:val="28"/>
          <w:sz w:val="24"/>
          <w:lang w:eastAsia="zh-CN"/>
        </w:rPr>
      </w:pPr>
      <w:r>
        <w:rPr>
          <w:rFonts w:hint="eastAsia" w:ascii="宋体" w:hAnsi="宋体"/>
          <w:color w:val="auto"/>
          <w:kern w:val="28"/>
          <w:sz w:val="24"/>
        </w:rPr>
        <w:t>1、项目</w:t>
      </w:r>
      <w:r>
        <w:rPr>
          <w:rFonts w:hint="eastAsia" w:ascii="宋体" w:hAnsi="宋体"/>
          <w:color w:val="auto"/>
          <w:sz w:val="24"/>
        </w:rPr>
        <w:t>名称</w:t>
      </w:r>
      <w:r>
        <w:rPr>
          <w:rFonts w:hint="eastAsia" w:ascii="宋体" w:hAnsi="宋体"/>
          <w:color w:val="auto"/>
          <w:kern w:val="28"/>
          <w:sz w:val="24"/>
        </w:rPr>
        <w:t>：</w:t>
      </w:r>
      <w:r>
        <w:rPr>
          <w:rFonts w:hint="eastAsia" w:ascii="宋体" w:hAnsi="宋体"/>
          <w:color w:val="auto"/>
          <w:kern w:val="28"/>
          <w:sz w:val="24"/>
          <w:lang w:eastAsia="zh-CN"/>
        </w:rPr>
        <w:t>白沙黎族自治县公安局特种技术用车采购项目</w:t>
      </w:r>
    </w:p>
    <w:p>
      <w:pPr>
        <w:spacing w:line="360" w:lineRule="auto"/>
        <w:ind w:firstLine="480" w:firstLineChars="200"/>
        <w:rPr>
          <w:rFonts w:hint="eastAsia" w:ascii="宋体" w:hAnsi="宋体"/>
          <w:color w:val="auto"/>
          <w:kern w:val="28"/>
          <w:sz w:val="24"/>
          <w:lang w:eastAsia="zh-CN"/>
        </w:rPr>
      </w:pPr>
      <w:r>
        <w:rPr>
          <w:rFonts w:hint="eastAsia" w:ascii="宋体" w:hAnsi="宋体"/>
          <w:color w:val="auto"/>
          <w:kern w:val="28"/>
          <w:sz w:val="24"/>
        </w:rPr>
        <w:t>2、项目编号：</w:t>
      </w:r>
      <w:r>
        <w:rPr>
          <w:rFonts w:hint="eastAsia" w:ascii="宋体" w:hAnsi="宋体"/>
          <w:color w:val="auto"/>
          <w:kern w:val="28"/>
          <w:sz w:val="24"/>
          <w:lang w:eastAsia="zh-CN"/>
        </w:rPr>
        <w:t>HNZC2023-ZB-055</w:t>
      </w:r>
    </w:p>
    <w:p>
      <w:pPr>
        <w:spacing w:line="360" w:lineRule="auto"/>
        <w:ind w:firstLine="480" w:firstLineChars="200"/>
        <w:rPr>
          <w:rFonts w:ascii="宋体" w:hAnsi="宋体"/>
          <w:color w:val="auto"/>
          <w:kern w:val="28"/>
          <w:sz w:val="24"/>
        </w:rPr>
      </w:pPr>
      <w:r>
        <w:rPr>
          <w:rFonts w:hint="eastAsia" w:ascii="宋体" w:hAnsi="宋体"/>
          <w:color w:val="auto"/>
          <w:kern w:val="28"/>
          <w:sz w:val="24"/>
        </w:rPr>
        <w:t>3、采购内容：见“用户需求书 ”</w:t>
      </w:r>
    </w:p>
    <w:p>
      <w:pPr>
        <w:spacing w:line="360" w:lineRule="auto"/>
        <w:ind w:firstLine="480" w:firstLineChars="200"/>
        <w:rPr>
          <w:rFonts w:ascii="宋体" w:hAnsi="宋体"/>
          <w:color w:val="auto"/>
          <w:kern w:val="28"/>
          <w:sz w:val="24"/>
        </w:rPr>
      </w:pPr>
      <w:r>
        <w:rPr>
          <w:rFonts w:hint="eastAsia" w:ascii="宋体" w:hAnsi="宋体"/>
          <w:color w:val="auto"/>
          <w:kern w:val="28"/>
          <w:sz w:val="24"/>
        </w:rPr>
        <w:t>4、预算金额：</w:t>
      </w:r>
      <w:r>
        <w:rPr>
          <w:rFonts w:hint="eastAsia" w:ascii="宋体" w:hAnsi="宋体"/>
          <w:color w:val="auto"/>
          <w:kern w:val="28"/>
          <w:sz w:val="24"/>
          <w:lang w:val="en-US" w:eastAsia="zh-CN"/>
        </w:rPr>
        <w:t>1390000.00元</w:t>
      </w:r>
      <w:r>
        <w:rPr>
          <w:rFonts w:ascii="宋体" w:hAnsi="宋体"/>
          <w:color w:val="auto"/>
          <w:kern w:val="28"/>
          <w:sz w:val="24"/>
        </w:rPr>
        <w:t>（</w:t>
      </w:r>
      <w:r>
        <w:rPr>
          <w:rFonts w:hint="eastAsia" w:ascii="宋体" w:hAnsi="宋体"/>
          <w:color w:val="auto"/>
          <w:kern w:val="28"/>
          <w:sz w:val="24"/>
        </w:rPr>
        <w:t>投标</w:t>
      </w:r>
      <w:r>
        <w:rPr>
          <w:rFonts w:ascii="宋体" w:hAnsi="宋体"/>
          <w:color w:val="auto"/>
          <w:kern w:val="28"/>
          <w:sz w:val="24"/>
        </w:rPr>
        <w:t>报价超过采购预算按无效投标处理）</w:t>
      </w:r>
    </w:p>
    <w:p>
      <w:pPr>
        <w:spacing w:line="360" w:lineRule="auto"/>
        <w:ind w:firstLine="480" w:firstLineChars="200"/>
        <w:rPr>
          <w:color w:val="auto"/>
        </w:rPr>
      </w:pPr>
      <w:r>
        <w:rPr>
          <w:rFonts w:hint="eastAsia" w:ascii="宋体" w:hAnsi="宋体"/>
          <w:color w:val="auto"/>
          <w:kern w:val="28"/>
          <w:sz w:val="24"/>
        </w:rPr>
        <w:t>5、</w:t>
      </w:r>
      <w:r>
        <w:rPr>
          <w:rFonts w:hint="eastAsia" w:ascii="宋体" w:hAnsi="宋体"/>
          <w:color w:val="auto"/>
          <w:kern w:val="28"/>
          <w:sz w:val="24"/>
          <w:szCs w:val="22"/>
        </w:rPr>
        <w:t>分包</w:t>
      </w:r>
      <w:r>
        <w:rPr>
          <w:rFonts w:ascii="宋体" w:hAnsi="宋体"/>
          <w:color w:val="auto"/>
          <w:kern w:val="28"/>
          <w:sz w:val="24"/>
          <w:szCs w:val="22"/>
        </w:rPr>
        <w:t>情况：</w:t>
      </w:r>
      <w:r>
        <w:rPr>
          <w:rFonts w:hint="eastAsia" w:ascii="宋体" w:hAnsi="宋体"/>
          <w:color w:val="auto"/>
          <w:kern w:val="28"/>
          <w:sz w:val="24"/>
          <w:szCs w:val="22"/>
        </w:rPr>
        <w:t>项目本身</w:t>
      </w:r>
    </w:p>
    <w:p>
      <w:pPr>
        <w:snapToGrid w:val="0"/>
        <w:spacing w:line="360" w:lineRule="auto"/>
        <w:rPr>
          <w:rFonts w:ascii="宋体" w:hAnsi="宋体"/>
          <w:b/>
          <w:color w:val="auto"/>
          <w:sz w:val="24"/>
          <w:szCs w:val="24"/>
        </w:rPr>
      </w:pPr>
      <w:r>
        <w:rPr>
          <w:rFonts w:hint="eastAsia" w:ascii="宋体" w:hAnsi="宋体" w:cs="Times New Roman"/>
          <w:b/>
          <w:color w:val="auto"/>
          <w:sz w:val="24"/>
          <w:szCs w:val="24"/>
        </w:rPr>
        <w:t>二、供应商资格要求：</w:t>
      </w:r>
      <w:r>
        <w:rPr>
          <w:rFonts w:hint="eastAsia" w:ascii="宋体" w:hAnsi="宋体"/>
          <w:b/>
          <w:color w:val="auto"/>
          <w:sz w:val="24"/>
          <w:szCs w:val="24"/>
        </w:rPr>
        <w:t>（供应商必须具备以下条件并提供相关资格证明材料）</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1.满足《中华人民共和国政府采购法》第二十二条规定；</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落实政府采购政策需满足的资格要求：本项目支持政府采购促进中小企业发展政策、政府采购支持监狱企业发展政策、促进残疾人就业政府采购政策、政府采购优先采购节能产品政策、政府采购优先采购环境标志产品政策等相关政策</w:t>
      </w:r>
      <w:r>
        <w:rPr>
          <w:rFonts w:hint="eastAsia" w:ascii="宋体" w:hAnsi="宋体" w:eastAsia="宋体" w:cs="宋体"/>
          <w:color w:val="auto"/>
          <w:sz w:val="24"/>
          <w:highlight w:val="none"/>
          <w:lang w:val="en-US" w:eastAsia="zh-CN"/>
        </w:rPr>
        <w:t>。</w:t>
      </w:r>
    </w:p>
    <w:p>
      <w:pPr>
        <w:spacing w:line="360" w:lineRule="auto"/>
        <w:ind w:firstLine="480" w:firstLineChars="200"/>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3.本项目的特定资格要求：</w:t>
      </w:r>
    </w:p>
    <w:p>
      <w:pPr>
        <w:spacing w:line="360" w:lineRule="auto"/>
        <w:outlineLvl w:val="9"/>
        <w:rPr>
          <w:rFonts w:hint="eastAsia" w:ascii="宋体" w:hAnsi="宋体" w:eastAsia="宋体" w:cs="宋体"/>
          <w:b w:val="0"/>
          <w:bCs w:val="0"/>
          <w:color w:val="auto"/>
          <w:kern w:val="28"/>
          <w:sz w:val="24"/>
          <w:lang w:eastAsia="zh-CN"/>
        </w:rPr>
      </w:pPr>
      <w:r>
        <w:rPr>
          <w:rFonts w:hint="eastAsia" w:ascii="宋体" w:hAnsi="宋体" w:eastAsia="宋体" w:cs="Times New Roman"/>
          <w:b w:val="0"/>
          <w:bCs w:val="0"/>
          <w:color w:val="auto"/>
          <w:sz w:val="24"/>
          <w:lang w:val="en-US" w:eastAsia="zh-CN"/>
        </w:rPr>
        <w:t>3.1资</w:t>
      </w:r>
      <w:r>
        <w:rPr>
          <w:rFonts w:ascii="宋体" w:hAnsi="宋体" w:eastAsia="宋体"/>
          <w:b w:val="0"/>
          <w:bCs w:val="0"/>
          <w:color w:val="auto"/>
          <w:sz w:val="24"/>
        </w:rPr>
        <w:t>质</w:t>
      </w:r>
      <w:r>
        <w:rPr>
          <w:rFonts w:hint="eastAsia" w:ascii="宋体" w:hAnsi="宋体" w:eastAsia="宋体"/>
          <w:b w:val="0"/>
          <w:bCs w:val="0"/>
          <w:color w:val="auto"/>
          <w:sz w:val="24"/>
          <w:lang w:val="en-US" w:eastAsia="zh-CN"/>
        </w:rPr>
        <w:t>要求</w:t>
      </w:r>
      <w:r>
        <w:rPr>
          <w:rFonts w:ascii="宋体" w:hAnsi="宋体" w:eastAsia="宋体"/>
          <w:b w:val="0"/>
          <w:bCs w:val="0"/>
          <w:color w:val="auto"/>
          <w:sz w:val="24"/>
        </w:rPr>
        <w:t>：</w:t>
      </w:r>
      <w:r>
        <w:rPr>
          <w:rFonts w:hint="eastAsia" w:ascii="宋体" w:hAnsi="宋体"/>
          <w:sz w:val="24"/>
        </w:rPr>
        <w:t>中华人民共和国注册的、具有独立承担民事责任能力的法人企业（提供营业执照副本复印件、税务登记证复印件、组织机构代码证复印件或三证合一营业执照复印件加盖公章</w:t>
      </w:r>
      <w:r>
        <w:rPr>
          <w:rFonts w:hint="eastAsia" w:ascii="宋体" w:hAnsi="宋体" w:eastAsia="宋体" w:cs="宋体"/>
          <w:b w:val="0"/>
          <w:bCs w:val="0"/>
          <w:color w:val="auto"/>
          <w:kern w:val="28"/>
          <w:sz w:val="24"/>
        </w:rPr>
        <w:t>）</w:t>
      </w:r>
      <w:r>
        <w:rPr>
          <w:rFonts w:hint="eastAsia" w:ascii="宋体" w:hAnsi="宋体" w:eastAsia="宋体" w:cs="宋体"/>
          <w:b w:val="0"/>
          <w:bCs w:val="0"/>
          <w:color w:val="auto"/>
          <w:kern w:val="28"/>
          <w:sz w:val="24"/>
          <w:lang w:eastAsia="zh-CN"/>
        </w:rPr>
        <w:t>。</w:t>
      </w:r>
    </w:p>
    <w:p>
      <w:pPr>
        <w:bidi w:val="0"/>
        <w:rPr>
          <w:rFonts w:hint="eastAsia"/>
          <w:lang w:val="en-US" w:eastAsia="zh-CN"/>
        </w:rPr>
      </w:pPr>
      <w:r>
        <w:rPr>
          <w:rFonts w:hint="eastAsia"/>
          <w:lang w:val="en-US" w:eastAsia="zh-CN"/>
        </w:rPr>
        <w:t>3.2</w:t>
      </w:r>
      <w:r>
        <w:rPr>
          <w:rFonts w:hint="eastAsia" w:ascii="宋体" w:hAnsi="宋体" w:eastAsia="宋体" w:cs="Times New Roman"/>
          <w:sz w:val="24"/>
          <w:lang w:val="en-US" w:eastAsia="zh-CN"/>
        </w:rPr>
        <w:t>信誉要求</w:t>
      </w:r>
      <w:r>
        <w:rPr>
          <w:rFonts w:hint="eastAsia"/>
          <w:lang w:val="en-US" w:eastAsia="zh-CN"/>
        </w:rPr>
        <w:t>：</w:t>
      </w:r>
      <w:r>
        <w:rPr>
          <w:rFonts w:hint="eastAsia" w:ascii="宋体" w:hAnsi="宋体" w:eastAsia="宋体" w:cs="Times New Roman"/>
          <w:sz w:val="24"/>
          <w:lang w:val="en-US" w:eastAsia="zh-CN"/>
        </w:rPr>
        <w:t>投标人必须为未被列入信用中国网站( http://www.creditchina.gov.cn )的“重大税收违法失信主体”“政府采购严重违法失信名单”和中国政府采购网( http://www.ccgp.gov.cn )的“政府采购严重违法失信行为记录名单”和中国执行信息公开网（http://zxgk.court.gov.cn）的“失信被执行人”的供应商（提供相关网页截图）；（查询截止时间：公告发布之日起至投标截止时间；提供信息查询结果界面截图，加盖公章）。</w:t>
      </w:r>
    </w:p>
    <w:p>
      <w:pPr>
        <w:spacing w:line="360" w:lineRule="auto"/>
        <w:outlineLvl w:val="9"/>
        <w:rPr>
          <w:rFonts w:hint="eastAsia" w:ascii="宋体" w:hAnsi="宋体" w:eastAsia="宋体" w:cs="Times New Roman"/>
          <w:sz w:val="24"/>
        </w:rPr>
      </w:pPr>
      <w:r>
        <w:rPr>
          <w:rFonts w:hint="eastAsia" w:ascii="宋体" w:hAnsi="宋体" w:eastAsia="宋体" w:cs="Times New Roman"/>
          <w:sz w:val="24"/>
          <w:lang w:val="en-US" w:eastAsia="zh-CN"/>
        </w:rPr>
        <w:t>3.3</w:t>
      </w:r>
      <w:r>
        <w:rPr>
          <w:rFonts w:hint="eastAsia" w:ascii="宋体" w:hAnsi="宋体" w:eastAsia="宋体" w:cs="Times New Roman"/>
          <w:sz w:val="24"/>
        </w:rPr>
        <w:t>供应商参加政府采购活动前3年内（注册成立时间不足三年的，从注册时间起算）在经营活动中没有重大违法记录（须提供承诺函加盖公章）。</w:t>
      </w:r>
    </w:p>
    <w:p>
      <w:pPr>
        <w:spacing w:line="360" w:lineRule="auto"/>
        <w:outlineLvl w:val="9"/>
        <w:rPr>
          <w:rFonts w:ascii="宋体" w:hAnsi="宋体" w:eastAsia="宋体"/>
          <w:b w:val="0"/>
          <w:bCs w:val="0"/>
          <w:color w:val="auto"/>
          <w:sz w:val="24"/>
        </w:rPr>
      </w:pPr>
      <w:r>
        <w:rPr>
          <w:rFonts w:hint="eastAsia" w:ascii="宋体" w:hAnsi="宋体" w:eastAsia="宋体" w:cs="Times New Roman"/>
          <w:sz w:val="24"/>
          <w:lang w:val="en-US" w:eastAsia="zh-CN"/>
        </w:rPr>
        <w:t>3.4</w:t>
      </w:r>
      <w:r>
        <w:rPr>
          <w:rFonts w:hint="eastAsia" w:ascii="宋体" w:hAnsi="宋体" w:eastAsia="宋体" w:cs="Times New Roman"/>
          <w:sz w:val="24"/>
        </w:rPr>
        <w:t>财务要求：供应商必须具有良好的商业信誉和健全的财务会计制度【提供</w:t>
      </w:r>
      <w:r>
        <w:rPr>
          <w:rFonts w:hint="eastAsia" w:ascii="宋体" w:hAnsi="宋体"/>
          <w:sz w:val="24"/>
          <w:lang w:val="en-US" w:eastAsia="zh-CN"/>
        </w:rPr>
        <w:t>2023</w:t>
      </w:r>
      <w:r>
        <w:rPr>
          <w:rFonts w:hint="eastAsia" w:ascii="宋体" w:hAnsi="宋体"/>
          <w:sz w:val="24"/>
        </w:rPr>
        <w:t>年</w:t>
      </w:r>
      <w:r>
        <w:rPr>
          <w:rFonts w:hint="eastAsia" w:ascii="宋体" w:hAnsi="宋体"/>
          <w:sz w:val="24"/>
          <w:lang w:eastAsia="zh-CN"/>
        </w:rPr>
        <w:t>至今</w:t>
      </w:r>
      <w:r>
        <w:rPr>
          <w:rFonts w:hint="eastAsia" w:ascii="宋体" w:hAnsi="宋体"/>
          <w:sz w:val="24"/>
        </w:rPr>
        <w:t>任意1个月财务报表复印件或202</w:t>
      </w:r>
      <w:r>
        <w:rPr>
          <w:rFonts w:hint="eastAsia" w:ascii="宋体" w:hAnsi="宋体"/>
          <w:sz w:val="24"/>
          <w:lang w:val="en-US" w:eastAsia="zh-CN"/>
        </w:rPr>
        <w:t>2</w:t>
      </w:r>
      <w:r>
        <w:rPr>
          <w:rFonts w:hint="eastAsia" w:ascii="宋体" w:hAnsi="宋体"/>
          <w:sz w:val="24"/>
        </w:rPr>
        <w:t>年会计师事务所出具的财务审计报告</w:t>
      </w:r>
      <w:r>
        <w:rPr>
          <w:rFonts w:hint="eastAsia"/>
          <w:b w:val="0"/>
          <w:bCs w:val="0"/>
          <w:color w:val="auto"/>
          <w:kern w:val="0"/>
          <w:sz w:val="24"/>
        </w:rPr>
        <w:t>；新注册公司须提供注册时间起至今任意一个季度的财务报表（须含资产负债表、现金流量表、利润表）】</w:t>
      </w:r>
      <w:r>
        <w:rPr>
          <w:rFonts w:hint="eastAsia" w:ascii="宋体" w:hAnsi="宋体" w:eastAsia="宋体"/>
          <w:b w:val="0"/>
          <w:bCs w:val="0"/>
          <w:color w:val="auto"/>
          <w:sz w:val="24"/>
        </w:rPr>
        <w:t>。</w:t>
      </w:r>
    </w:p>
    <w:p>
      <w:pPr>
        <w:pStyle w:val="2"/>
        <w:ind w:left="0" w:leftChars="0" w:firstLine="0" w:firstLineChars="0"/>
        <w:outlineLvl w:val="9"/>
        <w:rPr>
          <w:rFonts w:hint="eastAsia" w:ascii="宋体" w:hAnsi="宋体" w:eastAsia="宋体" w:cs="宋体"/>
          <w:b w:val="0"/>
          <w:bCs w:val="0"/>
          <w:color w:val="auto"/>
          <w:kern w:val="28"/>
          <w:sz w:val="24"/>
          <w:szCs w:val="24"/>
          <w:lang w:val="en-US" w:eastAsia="zh-CN" w:bidi="ar-SA"/>
        </w:rPr>
      </w:pPr>
      <w:r>
        <w:rPr>
          <w:rFonts w:hint="eastAsia" w:ascii="宋体" w:hAnsi="宋体"/>
          <w:b w:val="0"/>
          <w:bCs w:val="0"/>
          <w:color w:val="auto"/>
          <w:sz w:val="24"/>
          <w:lang w:val="en-US" w:eastAsia="zh-CN"/>
        </w:rPr>
        <w:t>3.5</w:t>
      </w:r>
      <w:r>
        <w:rPr>
          <w:rFonts w:hint="eastAsia" w:ascii="宋体" w:hAnsi="宋体" w:eastAsia="宋体" w:cs="宋体"/>
          <w:b w:val="0"/>
          <w:bCs w:val="0"/>
          <w:color w:val="auto"/>
          <w:kern w:val="28"/>
          <w:sz w:val="24"/>
          <w:szCs w:val="24"/>
          <w:lang w:val="en-US" w:eastAsia="zh-CN" w:bidi="ar-SA"/>
        </w:rPr>
        <w:t>供应商须具有履行合同所必需的设备和专业技术能力（提供承诺函加盖公章）</w:t>
      </w:r>
    </w:p>
    <w:p>
      <w:pPr>
        <w:keepNext w:val="0"/>
        <w:keepLines w:val="0"/>
        <w:pageBreakBefore w:val="0"/>
        <w:widowControl w:val="0"/>
        <w:kinsoku/>
        <w:wordWrap/>
        <w:overflowPunct/>
        <w:topLinePunct w:val="0"/>
        <w:autoSpaceDE/>
        <w:autoSpaceDN/>
        <w:bidi w:val="0"/>
        <w:adjustRightInd/>
        <w:snapToGrid/>
        <w:spacing w:line="312" w:lineRule="auto"/>
        <w:ind w:right="-483" w:rightChars="-230"/>
        <w:textAlignment w:val="auto"/>
        <w:outlineLvl w:val="9"/>
        <w:rPr>
          <w:rFonts w:hint="eastAsia" w:ascii="宋体" w:hAnsi="宋体" w:eastAsia="宋体" w:cs="宋体"/>
          <w:color w:val="auto"/>
          <w:sz w:val="24"/>
          <w:highlight w:val="none"/>
        </w:rPr>
      </w:pPr>
      <w:r>
        <w:rPr>
          <w:rFonts w:hint="eastAsia" w:ascii="宋体" w:hAnsi="宋体" w:eastAsia="宋体"/>
          <w:b w:val="0"/>
          <w:bCs w:val="0"/>
          <w:color w:val="auto"/>
          <w:sz w:val="24"/>
          <w:lang w:val="en-US" w:eastAsia="zh-CN"/>
        </w:rPr>
        <w:t>3.6</w:t>
      </w:r>
      <w:r>
        <w:rPr>
          <w:rFonts w:hint="eastAsia" w:ascii="宋体" w:hAnsi="宋体" w:eastAsia="宋体" w:cs="宋体"/>
          <w:color w:val="auto"/>
          <w:sz w:val="24"/>
          <w:highlight w:val="none"/>
        </w:rPr>
        <w:t>具有依法缴纳税收证明和社会保障资金的良好记录（提供</w:t>
      </w:r>
      <w:r>
        <w:rPr>
          <w:rFonts w:hint="eastAsia" w:ascii="宋体" w:hAnsi="宋体" w:eastAsia="宋体" w:cs="宋体"/>
          <w:color w:val="auto"/>
          <w:sz w:val="24"/>
          <w:highlight w:val="none"/>
          <w:lang w:val="en-US" w:eastAsia="zh-CN"/>
        </w:rPr>
        <w:t>2023</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eastAsia="zh-CN"/>
        </w:rPr>
        <w:t>至今</w:t>
      </w:r>
      <w:r>
        <w:rPr>
          <w:rFonts w:hint="eastAsia" w:ascii="宋体" w:hAnsi="宋体" w:eastAsia="宋体" w:cs="宋体"/>
          <w:color w:val="auto"/>
          <w:sz w:val="24"/>
          <w:highlight w:val="none"/>
          <w:lang w:val="en-US" w:eastAsia="zh-CN"/>
        </w:rPr>
        <w:t>任意一个月的</w:t>
      </w:r>
      <w:r>
        <w:rPr>
          <w:rFonts w:hint="eastAsia" w:ascii="宋体" w:hAnsi="宋体" w:eastAsia="宋体" w:cs="宋体"/>
          <w:color w:val="auto"/>
          <w:sz w:val="24"/>
          <w:highlight w:val="none"/>
        </w:rPr>
        <w:t>依法纳税证明和社会保障缴费记录复印件加盖公章）。</w:t>
      </w:r>
    </w:p>
    <w:p>
      <w:pPr>
        <w:widowControl w:val="0"/>
        <w:kinsoku/>
        <w:autoSpaceDE/>
        <w:autoSpaceDN/>
        <w:adjustRightInd/>
        <w:snapToGrid/>
        <w:spacing w:line="360" w:lineRule="auto"/>
        <w:jc w:val="both"/>
        <w:textAlignment w:val="auto"/>
        <w:outlineLvl w:val="9"/>
        <w:rPr>
          <w:rFonts w:hint="eastAsia" w:ascii="宋体" w:hAnsi="宋体" w:eastAsia="宋体" w:cs="宋体"/>
          <w:snapToGrid/>
          <w:kern w:val="2"/>
          <w:sz w:val="24"/>
          <w:szCs w:val="24"/>
          <w:lang w:val="en-US" w:eastAsia="zh-CN" w:bidi="ar-SA"/>
        </w:rPr>
      </w:pPr>
      <w:r>
        <w:rPr>
          <w:rFonts w:hint="eastAsia" w:ascii="宋体" w:hAnsi="宋体" w:eastAsia="宋体" w:cs="Times New Roman"/>
          <w:b w:val="0"/>
          <w:bCs w:val="0"/>
          <w:color w:val="auto"/>
          <w:sz w:val="24"/>
          <w:lang w:val="en-US" w:eastAsia="zh-CN"/>
        </w:rPr>
        <w:t>3.7参加政府采</w:t>
      </w:r>
      <w:r>
        <w:rPr>
          <w:rFonts w:hint="eastAsia" w:ascii="宋体" w:hAnsi="宋体" w:eastAsia="宋体" w:cs="宋体"/>
          <w:snapToGrid/>
          <w:kern w:val="2"/>
          <w:sz w:val="24"/>
          <w:szCs w:val="24"/>
          <w:lang w:val="en-US" w:eastAsia="zh-CN" w:bidi="ar-SA"/>
        </w:rPr>
        <w:t>购活动前三年内，无环保类行政处罚记录。（提供无环保类行政处罚记录声明函，加盖公章）</w:t>
      </w:r>
    </w:p>
    <w:p>
      <w:pPr>
        <w:widowControl w:val="0"/>
        <w:kinsoku/>
        <w:autoSpaceDE/>
        <w:autoSpaceDN/>
        <w:adjustRightInd/>
        <w:snapToGrid/>
        <w:spacing w:line="360" w:lineRule="auto"/>
        <w:jc w:val="both"/>
        <w:textAlignment w:val="auto"/>
        <w:outlineLvl w:val="9"/>
        <w:rPr>
          <w:rFonts w:hint="default" w:ascii="宋体" w:hAnsi="宋体" w:eastAsia="宋体" w:cs="Times New Roman"/>
          <w:b w:val="0"/>
          <w:bCs w:val="0"/>
          <w:color w:val="auto"/>
          <w:kern w:val="2"/>
          <w:sz w:val="24"/>
          <w:szCs w:val="20"/>
          <w:lang w:val="en-US" w:eastAsia="zh-CN" w:bidi="ar-SA"/>
        </w:rPr>
      </w:pPr>
      <w:r>
        <w:rPr>
          <w:rFonts w:hint="eastAsia" w:ascii="宋体" w:hAnsi="宋体" w:eastAsia="宋体" w:cs="Times New Roman"/>
          <w:b w:val="0"/>
          <w:bCs w:val="0"/>
          <w:color w:val="auto"/>
          <w:kern w:val="2"/>
          <w:sz w:val="24"/>
          <w:szCs w:val="20"/>
          <w:lang w:val="en-US" w:eastAsia="zh-CN" w:bidi="ar-SA"/>
        </w:rPr>
        <w:t>3.8按要求缴纳保证金（</w:t>
      </w:r>
      <w:r>
        <w:rPr>
          <w:rFonts w:hint="eastAsia" w:ascii="宋体" w:hAnsi="宋体" w:cs="宋体"/>
          <w:color w:val="auto"/>
          <w:kern w:val="10"/>
          <w:sz w:val="24"/>
          <w:highlight w:val="none"/>
          <w:shd w:val="clear" w:color="auto" w:fill="FFFFFF"/>
        </w:rPr>
        <w:t>保证金到账截止日期：</w:t>
      </w:r>
      <w:r>
        <w:rPr>
          <w:rFonts w:hint="eastAsia" w:ascii="宋体" w:hAnsi="宋体" w:cs="宋体"/>
          <w:color w:val="auto"/>
          <w:kern w:val="10"/>
          <w:sz w:val="24"/>
          <w:highlight w:val="none"/>
          <w:u w:val="single"/>
          <w:shd w:val="clear" w:color="auto" w:fill="FFFFFF"/>
          <w:lang w:val="en-US" w:eastAsia="zh-CN"/>
        </w:rPr>
        <w:t>2</w:t>
      </w:r>
      <w:r>
        <w:rPr>
          <w:rFonts w:ascii="宋体" w:hAnsi="宋体" w:cs="宋体"/>
          <w:color w:val="000000"/>
          <w:kern w:val="10"/>
          <w:sz w:val="24"/>
          <w:highlight w:val="none"/>
          <w:u w:val="single"/>
          <w:shd w:val="clear" w:color="auto" w:fill="FFFFFF"/>
        </w:rPr>
        <w:t>0</w:t>
      </w:r>
      <w:r>
        <w:rPr>
          <w:rFonts w:hint="eastAsia" w:ascii="宋体" w:hAnsi="宋体" w:cs="宋体"/>
          <w:color w:val="000000"/>
          <w:kern w:val="10"/>
          <w:sz w:val="24"/>
          <w:highlight w:val="none"/>
          <w:u w:val="single"/>
          <w:shd w:val="clear" w:color="auto" w:fill="FFFFFF"/>
          <w:lang w:val="en-US" w:eastAsia="zh-CN"/>
        </w:rPr>
        <w:t>23</w:t>
      </w:r>
      <w:r>
        <w:rPr>
          <w:rFonts w:hint="eastAsia" w:ascii="宋体" w:hAnsi="宋体" w:cs="宋体"/>
          <w:color w:val="000000"/>
          <w:kern w:val="10"/>
          <w:sz w:val="24"/>
          <w:highlight w:val="none"/>
          <w:shd w:val="clear" w:color="auto" w:fill="FFFFFF"/>
          <w:lang w:eastAsia="zh-CN"/>
        </w:rPr>
        <w:t>年</w:t>
      </w:r>
      <w:r>
        <w:rPr>
          <w:rFonts w:hint="eastAsia" w:ascii="宋体" w:hAnsi="宋体" w:cs="宋体"/>
          <w:color w:val="000000"/>
          <w:kern w:val="10"/>
          <w:sz w:val="24"/>
          <w:highlight w:val="none"/>
          <w:u w:val="single"/>
          <w:shd w:val="clear" w:color="auto" w:fill="FFFFFF"/>
          <w:lang w:val="en-US" w:eastAsia="zh-CN"/>
        </w:rPr>
        <w:t>08</w:t>
      </w:r>
      <w:r>
        <w:rPr>
          <w:rFonts w:hint="eastAsia" w:ascii="宋体" w:cs="宋体"/>
          <w:color w:val="000000"/>
          <w:kern w:val="10"/>
          <w:sz w:val="24"/>
          <w:highlight w:val="none"/>
          <w:shd w:val="clear" w:color="auto" w:fill="FFFFFF"/>
          <w:lang w:eastAsia="zh-CN"/>
        </w:rPr>
        <w:t>月</w:t>
      </w:r>
      <w:r>
        <w:rPr>
          <w:rFonts w:hint="eastAsia" w:ascii="宋体" w:hAnsi="宋体" w:cs="宋体"/>
          <w:color w:val="000000"/>
          <w:kern w:val="10"/>
          <w:sz w:val="24"/>
          <w:highlight w:val="none"/>
          <w:u w:val="single"/>
          <w:shd w:val="clear" w:color="auto" w:fill="FFFFFF"/>
          <w:lang w:val="en-US" w:eastAsia="zh-CN"/>
        </w:rPr>
        <w:t>18日</w:t>
      </w:r>
      <w:r>
        <w:rPr>
          <w:rFonts w:hint="eastAsia" w:ascii="宋体" w:hAnsi="宋体" w:cs="宋体"/>
          <w:color w:val="000000"/>
          <w:kern w:val="10"/>
          <w:sz w:val="24"/>
          <w:highlight w:val="none"/>
          <w:shd w:val="clear" w:color="auto" w:fill="FFFFFF"/>
          <w:lang w:eastAsia="zh-CN"/>
        </w:rPr>
        <w:t>上午</w:t>
      </w:r>
      <w:r>
        <w:rPr>
          <w:rFonts w:hint="eastAsia" w:ascii="宋体" w:hAnsi="宋体" w:cs="宋体"/>
          <w:color w:val="000000"/>
          <w:kern w:val="10"/>
          <w:sz w:val="24"/>
          <w:highlight w:val="none"/>
          <w:shd w:val="clear" w:color="auto" w:fill="FFFFFF"/>
          <w:lang w:val="en-US" w:eastAsia="zh-CN"/>
        </w:rPr>
        <w:t>10:00</w:t>
      </w:r>
      <w:r>
        <w:rPr>
          <w:rFonts w:hint="eastAsia" w:cs="仿宋_GB2312"/>
          <w:color w:val="auto"/>
          <w:kern w:val="2"/>
          <w:lang w:val="zh-CN"/>
        </w:rPr>
        <w:t>（北京时间）</w:t>
      </w:r>
      <w:r>
        <w:rPr>
          <w:rFonts w:hint="eastAsia" w:ascii="宋体" w:hAnsi="宋体" w:cs="宋体"/>
          <w:color w:val="auto"/>
          <w:kern w:val="10"/>
          <w:sz w:val="24"/>
          <w:highlight w:val="none"/>
          <w:shd w:val="clear" w:color="auto" w:fill="FFFFFF"/>
        </w:rPr>
        <w:t>，投标保证金（或保函）的形式：</w:t>
      </w:r>
      <w:r>
        <w:rPr>
          <w:rFonts w:hint="eastAsia" w:ascii="宋体" w:hAnsi="宋体"/>
          <w:color w:val="auto"/>
          <w:kern w:val="10"/>
          <w:sz w:val="24"/>
          <w:highlight w:val="none"/>
        </w:rPr>
        <w:t>公司基本户转账支付</w:t>
      </w:r>
      <w:r>
        <w:rPr>
          <w:rFonts w:hint="eastAsia" w:ascii="宋体" w:hAnsi="宋体" w:eastAsia="宋体" w:cs="Times New Roman"/>
          <w:b w:val="0"/>
          <w:bCs w:val="0"/>
          <w:color w:val="auto"/>
          <w:kern w:val="2"/>
          <w:sz w:val="24"/>
          <w:szCs w:val="20"/>
          <w:lang w:val="en-US" w:eastAsia="zh-CN" w:bidi="ar-SA"/>
        </w:rPr>
        <w:t>）</w:t>
      </w:r>
    </w:p>
    <w:p>
      <w:pPr>
        <w:widowControl w:val="0"/>
        <w:kinsoku/>
        <w:autoSpaceDE/>
        <w:autoSpaceDN/>
        <w:adjustRightInd/>
        <w:snapToGrid/>
        <w:spacing w:line="360" w:lineRule="auto"/>
        <w:jc w:val="both"/>
        <w:textAlignment w:val="auto"/>
        <w:outlineLvl w:val="9"/>
        <w:rPr>
          <w:rFonts w:hint="eastAsia" w:ascii="宋体" w:hAnsi="宋体" w:eastAsia="宋体"/>
          <w:b w:val="0"/>
          <w:bCs w:val="0"/>
          <w:color w:val="auto"/>
          <w:sz w:val="24"/>
        </w:rPr>
      </w:pPr>
      <w:r>
        <w:rPr>
          <w:rFonts w:hint="eastAsia" w:ascii="宋体" w:hAnsi="宋体" w:eastAsia="宋体" w:cs="宋体"/>
          <w:snapToGrid/>
          <w:color w:val="auto"/>
          <w:kern w:val="2"/>
          <w:sz w:val="24"/>
          <w:szCs w:val="24"/>
          <w:lang w:val="en-US" w:eastAsia="zh-CN" w:bidi="ar-SA"/>
        </w:rPr>
        <w:t>3.9</w:t>
      </w:r>
      <w:r>
        <w:rPr>
          <w:rFonts w:hint="eastAsia" w:ascii="宋体" w:hAnsi="宋体" w:eastAsia="宋体" w:cs="宋体"/>
          <w:b w:val="0"/>
          <w:bCs w:val="0"/>
          <w:color w:val="auto"/>
          <w:kern w:val="28"/>
          <w:sz w:val="24"/>
        </w:rPr>
        <w:t>本项目不接受联合投标。</w:t>
      </w:r>
      <w:r>
        <w:rPr>
          <w:rFonts w:hint="eastAsia" w:ascii="宋体" w:hAnsi="宋体" w:eastAsia="宋体"/>
          <w:b w:val="0"/>
          <w:bCs w:val="0"/>
          <w:color w:val="auto"/>
          <w:sz w:val="24"/>
        </w:rPr>
        <w:t xml:space="preserve"> </w:t>
      </w:r>
    </w:p>
    <w:p>
      <w:pPr>
        <w:widowControl/>
        <w:spacing w:line="360" w:lineRule="auto"/>
        <w:jc w:val="left"/>
        <w:rPr>
          <w:rFonts w:ascii="宋体" w:hAnsi="宋体"/>
          <w:color w:val="auto"/>
          <w:sz w:val="24"/>
          <w:szCs w:val="24"/>
        </w:rPr>
      </w:pPr>
      <w:r>
        <w:rPr>
          <w:rFonts w:hint="eastAsia" w:ascii="宋体" w:hAnsi="宋体"/>
          <w:b/>
          <w:color w:val="auto"/>
          <w:sz w:val="28"/>
        </w:rPr>
        <w:t>四、谈判文件的获取</w:t>
      </w:r>
    </w:p>
    <w:p>
      <w:pPr>
        <w:keepNext w:val="0"/>
        <w:keepLines w:val="0"/>
        <w:pageBreakBefore w:val="0"/>
        <w:widowControl w:val="0"/>
        <w:kinsoku/>
        <w:wordWrap/>
        <w:overflowPunct/>
        <w:topLinePunct w:val="0"/>
        <w:autoSpaceDE/>
        <w:autoSpaceDN/>
        <w:bidi w:val="0"/>
        <w:adjustRightInd/>
        <w:snapToGrid/>
        <w:spacing w:line="312" w:lineRule="auto"/>
        <w:ind w:right="-483" w:rightChars="-230" w:firstLine="240" w:firstLineChars="100"/>
        <w:textAlignment w:val="auto"/>
        <w:rPr>
          <w:rFonts w:hint="eastAsia" w:ascii="宋体" w:hAnsi="宋体" w:eastAsia="宋体" w:cs="宋体"/>
          <w:color w:val="auto"/>
          <w:kern w:val="10"/>
          <w:sz w:val="24"/>
          <w:highlight w:val="none"/>
          <w:u w:val="none"/>
          <w:lang w:val="en-GB" w:eastAsia="zh-CN"/>
        </w:rPr>
      </w:pPr>
      <w:r>
        <w:rPr>
          <w:rFonts w:hint="eastAsia" w:ascii="宋体" w:hAnsi="宋体" w:eastAsia="宋体" w:cs="宋体"/>
          <w:color w:val="auto"/>
          <w:kern w:val="10"/>
          <w:sz w:val="24"/>
          <w:highlight w:val="none"/>
          <w:u w:val="none"/>
          <w:lang w:val="en-GB" w:eastAsia="zh-CN"/>
        </w:rPr>
        <w:t>1、发售标书时间：</w:t>
      </w:r>
      <w:r>
        <w:rPr>
          <w:rFonts w:hint="eastAsia" w:ascii="宋体" w:hAnsi="宋体" w:eastAsia="宋体" w:cs="宋体"/>
          <w:color w:val="auto"/>
          <w:kern w:val="10"/>
          <w:sz w:val="24"/>
          <w:highlight w:val="none"/>
          <w:u w:val="none"/>
          <w:lang w:val="en-US" w:eastAsia="zh-CN"/>
        </w:rPr>
        <w:t>2023-08-</w:t>
      </w:r>
      <w:r>
        <w:rPr>
          <w:rFonts w:hint="eastAsia" w:ascii="宋体" w:hAnsi="宋体" w:cs="宋体"/>
          <w:color w:val="auto"/>
          <w:kern w:val="10"/>
          <w:sz w:val="24"/>
          <w:highlight w:val="none"/>
          <w:u w:val="none"/>
          <w:lang w:val="en-US" w:eastAsia="zh-CN"/>
        </w:rPr>
        <w:t>15</w:t>
      </w:r>
      <w:r>
        <w:rPr>
          <w:rFonts w:hint="eastAsia" w:ascii="宋体" w:hAnsi="宋体" w:eastAsia="宋体" w:cs="宋体"/>
          <w:color w:val="auto"/>
          <w:kern w:val="10"/>
          <w:sz w:val="24"/>
          <w:highlight w:val="none"/>
          <w:u w:val="none"/>
          <w:lang w:val="en-US" w:eastAsia="zh-CN"/>
        </w:rPr>
        <w:t xml:space="preserve"> 至 2022-08-</w:t>
      </w:r>
      <w:r>
        <w:rPr>
          <w:rFonts w:hint="eastAsia" w:ascii="宋体" w:hAnsi="宋体" w:cs="宋体"/>
          <w:color w:val="auto"/>
          <w:kern w:val="10"/>
          <w:sz w:val="24"/>
          <w:highlight w:val="none"/>
          <w:u w:val="none"/>
          <w:lang w:val="en-US" w:eastAsia="zh-CN"/>
        </w:rPr>
        <w:t>17</w:t>
      </w:r>
      <w:r>
        <w:rPr>
          <w:rFonts w:hint="eastAsia" w:ascii="宋体" w:hAnsi="宋体" w:eastAsia="宋体" w:cs="宋体"/>
          <w:color w:val="auto"/>
          <w:kern w:val="10"/>
          <w:sz w:val="24"/>
          <w:highlight w:val="none"/>
          <w:u w:val="none"/>
          <w:lang w:val="en-US" w:eastAsia="zh-CN"/>
        </w:rPr>
        <w:t>，每天上午 00:00 至 12:00，下午 12:00 至 24:00 （北京时间，法定节假日除外）</w:t>
      </w:r>
      <w:r>
        <w:rPr>
          <w:rFonts w:hint="eastAsia" w:ascii="宋体" w:hAnsi="宋体" w:eastAsia="宋体" w:cs="宋体"/>
          <w:color w:val="auto"/>
          <w:kern w:val="10"/>
          <w:sz w:val="24"/>
          <w:highlight w:val="none"/>
          <w:u w:val="none"/>
          <w:lang w:val="en-GB" w:eastAsia="zh-CN"/>
        </w:rPr>
        <w:t>。</w:t>
      </w:r>
    </w:p>
    <w:p>
      <w:pPr>
        <w:spacing w:line="540" w:lineRule="exact"/>
        <w:ind w:firstLine="240" w:firstLineChars="100"/>
        <w:rPr>
          <w:rFonts w:hint="eastAsia" w:ascii="宋体" w:hAnsi="宋体" w:cs="宋体"/>
          <w:color w:val="auto"/>
        </w:rPr>
      </w:pPr>
      <w:r>
        <w:rPr>
          <w:rFonts w:hint="eastAsia" w:ascii="宋体" w:hAnsi="宋体" w:eastAsia="宋体" w:cs="宋体"/>
          <w:color w:val="auto"/>
          <w:kern w:val="10"/>
          <w:sz w:val="24"/>
          <w:highlight w:val="none"/>
          <w:u w:val="none"/>
          <w:lang w:val="en-GB" w:eastAsia="zh-CN"/>
        </w:rPr>
        <w:t>2、发售标书地点：海南政府采购网(www.ccgp-hainan.gov.cn)-海南省政府采购电子化交易管理系统(新) 。</w:t>
      </w:r>
    </w:p>
    <w:p>
      <w:pPr>
        <w:spacing w:line="540" w:lineRule="exact"/>
        <w:ind w:firstLine="240" w:firstLineChars="100"/>
        <w:rPr>
          <w:rFonts w:hint="eastAsia" w:ascii="宋体" w:hAnsi="宋体" w:cs="宋体"/>
          <w:color w:val="auto"/>
          <w:sz w:val="24"/>
          <w:szCs w:val="32"/>
        </w:rPr>
      </w:pPr>
      <w:r>
        <w:rPr>
          <w:rFonts w:hint="eastAsia" w:ascii="宋体" w:hAnsi="宋体" w:cs="宋体"/>
          <w:color w:val="auto"/>
          <w:sz w:val="24"/>
          <w:szCs w:val="32"/>
          <w:lang w:val="en-US" w:eastAsia="zh-CN"/>
        </w:rPr>
        <w:t>3、</w:t>
      </w:r>
      <w:r>
        <w:rPr>
          <w:rFonts w:hint="eastAsia" w:ascii="宋体" w:hAnsi="宋体" w:cs="宋体"/>
          <w:color w:val="auto"/>
          <w:sz w:val="24"/>
          <w:szCs w:val="32"/>
        </w:rPr>
        <w:t>方式：网上下载</w:t>
      </w:r>
    </w:p>
    <w:p>
      <w:pPr>
        <w:keepNext w:val="0"/>
        <w:keepLines w:val="0"/>
        <w:pageBreakBefore w:val="0"/>
        <w:widowControl w:val="0"/>
        <w:kinsoku/>
        <w:wordWrap/>
        <w:overflowPunct/>
        <w:topLinePunct w:val="0"/>
        <w:autoSpaceDE/>
        <w:autoSpaceDN/>
        <w:bidi w:val="0"/>
        <w:adjustRightInd/>
        <w:snapToGrid/>
        <w:spacing w:line="312" w:lineRule="auto"/>
        <w:ind w:right="-483" w:rightChars="-230" w:firstLine="240" w:firstLineChars="100"/>
        <w:textAlignment w:val="auto"/>
        <w:rPr>
          <w:rFonts w:hint="eastAsia" w:ascii="宋体" w:hAnsi="宋体" w:eastAsia="宋体" w:cs="宋体"/>
          <w:color w:val="auto"/>
          <w:kern w:val="10"/>
          <w:sz w:val="24"/>
          <w:highlight w:val="none"/>
          <w:u w:val="none"/>
          <w:lang w:val="en-US" w:eastAsia="zh-CN"/>
        </w:rPr>
      </w:pPr>
      <w:r>
        <w:rPr>
          <w:rFonts w:hint="eastAsia" w:ascii="宋体" w:hAnsi="宋体" w:cs="宋体"/>
          <w:color w:val="auto"/>
          <w:sz w:val="24"/>
          <w:szCs w:val="32"/>
          <w:lang w:val="en-US" w:eastAsia="zh-CN"/>
        </w:rPr>
        <w:t>4、</w:t>
      </w:r>
      <w:r>
        <w:rPr>
          <w:rFonts w:hint="eastAsia" w:ascii="宋体" w:hAnsi="宋体" w:cs="宋体"/>
          <w:color w:val="auto"/>
          <w:sz w:val="24"/>
          <w:szCs w:val="32"/>
        </w:rPr>
        <w:t>售价：</w:t>
      </w:r>
      <w:r>
        <w:rPr>
          <w:rFonts w:hint="eastAsia" w:ascii="宋体" w:hAnsi="宋体" w:cs="宋体"/>
          <w:color w:val="auto"/>
          <w:sz w:val="24"/>
          <w:szCs w:val="32"/>
          <w:lang w:val="en-US" w:eastAsia="zh-CN"/>
        </w:rPr>
        <w:t>0元，不收取</w:t>
      </w:r>
    </w:p>
    <w:p>
      <w:pPr>
        <w:tabs>
          <w:tab w:val="left" w:pos="4680"/>
        </w:tabs>
        <w:snapToGrid w:val="0"/>
        <w:spacing w:line="360" w:lineRule="auto"/>
        <w:rPr>
          <w:rFonts w:ascii="宋体" w:hAnsi="宋体"/>
          <w:b/>
          <w:color w:val="auto"/>
          <w:sz w:val="28"/>
        </w:rPr>
      </w:pPr>
      <w:r>
        <w:rPr>
          <w:rFonts w:hint="eastAsia" w:ascii="宋体" w:hAnsi="宋体"/>
          <w:b/>
          <w:color w:val="auto"/>
          <w:sz w:val="28"/>
        </w:rPr>
        <w:t>五、递交响应文件截止时间、谈判时间及地点</w:t>
      </w:r>
    </w:p>
    <w:p>
      <w:pPr>
        <w:tabs>
          <w:tab w:val="left" w:pos="4680"/>
        </w:tabs>
        <w:snapToGrid w:val="0"/>
        <w:spacing w:line="360" w:lineRule="auto"/>
        <w:ind w:firstLine="480" w:firstLineChars="200"/>
        <w:rPr>
          <w:rFonts w:ascii="宋体" w:hAnsi="宋体" w:cs="Tahoma"/>
          <w:color w:val="auto"/>
          <w:sz w:val="24"/>
        </w:rPr>
      </w:pPr>
      <w:r>
        <w:rPr>
          <w:rFonts w:hint="eastAsia" w:ascii="宋体" w:hAnsi="宋体" w:cs="Tahoma"/>
          <w:color w:val="auto"/>
          <w:sz w:val="24"/>
        </w:rPr>
        <w:t>1、递交响应文件时间：</w:t>
      </w:r>
      <w:r>
        <w:rPr>
          <w:rFonts w:hint="eastAsia" w:ascii="宋体" w:hAnsi="宋体" w:cs="Tahoma"/>
          <w:color w:val="auto"/>
          <w:sz w:val="24"/>
          <w:lang w:eastAsia="zh-CN"/>
        </w:rPr>
        <w:t>2023</w:t>
      </w:r>
      <w:r>
        <w:rPr>
          <w:rFonts w:hint="eastAsia" w:ascii="宋体" w:hAnsi="宋体" w:cs="Tahoma"/>
          <w:color w:val="auto"/>
          <w:sz w:val="24"/>
        </w:rPr>
        <w:t>年</w:t>
      </w:r>
      <w:r>
        <w:rPr>
          <w:rFonts w:hint="eastAsia" w:ascii="宋体" w:hAnsi="宋体" w:cs="Tahoma"/>
          <w:color w:val="auto"/>
          <w:sz w:val="24"/>
          <w:lang w:val="en-US" w:eastAsia="zh-CN"/>
        </w:rPr>
        <w:t>08</w:t>
      </w:r>
      <w:r>
        <w:rPr>
          <w:rFonts w:hint="eastAsia" w:ascii="宋体" w:hAnsi="宋体" w:cs="Tahoma"/>
          <w:color w:val="auto"/>
          <w:sz w:val="24"/>
        </w:rPr>
        <w:t>月</w:t>
      </w:r>
      <w:r>
        <w:rPr>
          <w:rFonts w:hint="eastAsia" w:ascii="宋体" w:hAnsi="宋体" w:cs="Tahoma"/>
          <w:color w:val="auto"/>
          <w:sz w:val="24"/>
          <w:lang w:val="en-US" w:eastAsia="zh-CN"/>
        </w:rPr>
        <w:t>18日10:00</w:t>
      </w:r>
      <w:r>
        <w:rPr>
          <w:rFonts w:hint="eastAsia" w:ascii="宋体" w:hAnsi="宋体" w:cs="Tahoma"/>
          <w:color w:val="auto"/>
          <w:sz w:val="24"/>
        </w:rPr>
        <w:t>；</w:t>
      </w:r>
    </w:p>
    <w:p>
      <w:pPr>
        <w:tabs>
          <w:tab w:val="left" w:pos="4680"/>
        </w:tabs>
        <w:snapToGrid w:val="0"/>
        <w:spacing w:line="360" w:lineRule="auto"/>
        <w:ind w:firstLine="480" w:firstLineChars="200"/>
        <w:rPr>
          <w:rFonts w:ascii="宋体" w:hAnsi="宋体" w:cs="Tahoma"/>
          <w:color w:val="auto"/>
          <w:sz w:val="24"/>
        </w:rPr>
      </w:pPr>
      <w:r>
        <w:rPr>
          <w:rFonts w:hint="eastAsia" w:ascii="宋体" w:hAnsi="宋体" w:cs="Tahoma"/>
          <w:color w:val="auto"/>
          <w:sz w:val="24"/>
        </w:rPr>
        <w:t>2、谈判时间：</w:t>
      </w:r>
      <w:r>
        <w:rPr>
          <w:rFonts w:hint="eastAsia" w:ascii="宋体" w:hAnsi="宋体" w:cs="Tahoma"/>
          <w:color w:val="auto"/>
          <w:sz w:val="24"/>
          <w:lang w:eastAsia="zh-CN"/>
        </w:rPr>
        <w:t>2023</w:t>
      </w:r>
      <w:r>
        <w:rPr>
          <w:rFonts w:hint="eastAsia" w:ascii="宋体" w:hAnsi="宋体" w:cs="Tahoma"/>
          <w:color w:val="auto"/>
          <w:sz w:val="24"/>
        </w:rPr>
        <w:t>年</w:t>
      </w:r>
      <w:r>
        <w:rPr>
          <w:rFonts w:hint="eastAsia" w:ascii="宋体" w:hAnsi="宋体" w:cs="Tahoma"/>
          <w:color w:val="auto"/>
          <w:sz w:val="24"/>
          <w:lang w:val="en-US" w:eastAsia="zh-CN"/>
        </w:rPr>
        <w:t>08</w:t>
      </w:r>
      <w:r>
        <w:rPr>
          <w:rFonts w:hint="eastAsia" w:ascii="宋体" w:hAnsi="宋体" w:cs="Tahoma"/>
          <w:color w:val="auto"/>
          <w:sz w:val="24"/>
        </w:rPr>
        <w:t>月</w:t>
      </w:r>
      <w:r>
        <w:rPr>
          <w:rFonts w:hint="eastAsia" w:ascii="宋体" w:hAnsi="宋体" w:cs="Tahoma"/>
          <w:color w:val="auto"/>
          <w:sz w:val="24"/>
          <w:lang w:val="en-US" w:eastAsia="zh-CN"/>
        </w:rPr>
        <w:t>18日10:00</w:t>
      </w:r>
      <w:r>
        <w:rPr>
          <w:rFonts w:hint="eastAsia" w:ascii="宋体" w:hAnsi="宋体" w:cs="Tahoma"/>
          <w:color w:val="auto"/>
          <w:sz w:val="24"/>
        </w:rPr>
        <w:t>；</w:t>
      </w:r>
    </w:p>
    <w:p>
      <w:pPr>
        <w:spacing w:line="360" w:lineRule="auto"/>
        <w:ind w:firstLine="480"/>
        <w:rPr>
          <w:rFonts w:ascii="宋体" w:hAnsi="宋体"/>
          <w:color w:val="auto"/>
          <w:sz w:val="24"/>
        </w:rPr>
      </w:pPr>
      <w:r>
        <w:rPr>
          <w:rFonts w:hint="eastAsia" w:ascii="宋体" w:hAnsi="宋体"/>
          <w:color w:val="auto"/>
          <w:sz w:val="24"/>
        </w:rPr>
        <w:t>3、谈判</w:t>
      </w:r>
      <w:r>
        <w:rPr>
          <w:rFonts w:ascii="宋体" w:hAnsi="宋体"/>
          <w:color w:val="auto"/>
          <w:sz w:val="24"/>
        </w:rPr>
        <w:t>地点：</w:t>
      </w:r>
      <w:r>
        <w:rPr>
          <w:rFonts w:hint="eastAsia" w:ascii="宋体" w:hAnsi="宋体"/>
          <w:bCs/>
          <w:color w:val="auto"/>
          <w:sz w:val="24"/>
          <w:lang w:eastAsia="zh-CN"/>
        </w:rPr>
        <w:t>海南招协招标采购交易平台（海口市美兰区蓝天路51号京航大酒店5楼开标2）</w:t>
      </w:r>
      <w:r>
        <w:rPr>
          <w:rFonts w:hint="eastAsia" w:ascii="宋体" w:hAnsi="宋体"/>
          <w:color w:val="auto"/>
          <w:sz w:val="24"/>
        </w:rPr>
        <w:t>；</w:t>
      </w:r>
    </w:p>
    <w:p>
      <w:pPr>
        <w:snapToGrid w:val="0"/>
        <w:spacing w:line="360" w:lineRule="auto"/>
        <w:ind w:left="839" w:leftChars="228" w:hanging="360" w:hangingChars="150"/>
        <w:rPr>
          <w:rFonts w:hint="eastAsia"/>
          <w:color w:val="auto"/>
          <w:sz w:val="24"/>
        </w:rPr>
      </w:pPr>
      <w:r>
        <w:rPr>
          <w:rFonts w:hint="eastAsia" w:ascii="宋体" w:hAnsi="宋体"/>
          <w:color w:val="auto"/>
          <w:kern w:val="0"/>
          <w:sz w:val="24"/>
        </w:rPr>
        <w:t>4、</w:t>
      </w:r>
      <w:r>
        <w:rPr>
          <w:rFonts w:hint="eastAsia"/>
          <w:color w:val="auto"/>
          <w:sz w:val="24"/>
        </w:rPr>
        <w:t>采购信息发布媒介</w:t>
      </w:r>
      <w:r>
        <w:rPr>
          <w:rFonts w:hint="eastAsia" w:ascii="宋体" w:hAnsi="宋体"/>
          <w:color w:val="auto"/>
          <w:kern w:val="0"/>
          <w:sz w:val="24"/>
        </w:rPr>
        <w:t>：</w:t>
      </w:r>
      <w:r>
        <w:rPr>
          <w:rFonts w:hint="eastAsia" w:ascii="宋体" w:hAnsi="宋体"/>
          <w:color w:val="auto"/>
          <w:kern w:val="0"/>
          <w:sz w:val="24"/>
          <w:lang w:eastAsia="zh-CN"/>
        </w:rPr>
        <w:t>海南政府采购网</w:t>
      </w:r>
      <w:r>
        <w:rPr>
          <w:rFonts w:hint="eastAsia"/>
          <w:color w:val="auto"/>
          <w:sz w:val="24"/>
        </w:rPr>
        <w:t>。</w:t>
      </w:r>
    </w:p>
    <w:p>
      <w:pPr>
        <w:snapToGrid w:val="0"/>
        <w:spacing w:line="360" w:lineRule="auto"/>
        <w:rPr>
          <w:rFonts w:hint="eastAsia" w:ascii="宋体" w:hAnsi="宋体" w:eastAsia="宋体" w:cs="宋体"/>
          <w:b/>
          <w:color w:val="auto"/>
          <w:sz w:val="24"/>
        </w:rPr>
      </w:pPr>
      <w:r>
        <w:rPr>
          <w:rFonts w:hint="eastAsia" w:ascii="宋体" w:hAnsi="宋体" w:eastAsia="宋体" w:cs="宋体"/>
          <w:b/>
          <w:color w:val="auto"/>
          <w:sz w:val="24"/>
          <w:szCs w:val="22"/>
          <w:lang w:eastAsia="zh-CN"/>
        </w:rPr>
        <w:t>六</w:t>
      </w:r>
      <w:r>
        <w:rPr>
          <w:rFonts w:hint="eastAsia" w:ascii="宋体" w:hAnsi="宋体" w:eastAsia="宋体" w:cs="宋体"/>
          <w:b/>
          <w:color w:val="auto"/>
          <w:sz w:val="24"/>
          <w:szCs w:val="22"/>
        </w:rPr>
        <w:t>、</w:t>
      </w:r>
      <w:r>
        <w:rPr>
          <w:rFonts w:hint="eastAsia" w:ascii="宋体" w:hAnsi="宋体" w:eastAsia="宋体" w:cs="宋体"/>
          <w:b/>
          <w:color w:val="auto"/>
          <w:sz w:val="24"/>
          <w:lang w:eastAsia="zh-CN"/>
        </w:rPr>
        <w:t>采购人</w:t>
      </w:r>
      <w:r>
        <w:rPr>
          <w:rFonts w:hint="eastAsia" w:ascii="宋体" w:hAnsi="宋体" w:eastAsia="宋体" w:cs="宋体"/>
          <w:b/>
          <w:color w:val="auto"/>
          <w:sz w:val="24"/>
        </w:rPr>
        <w:t>联系方式</w:t>
      </w:r>
    </w:p>
    <w:p>
      <w:pPr>
        <w:pStyle w:val="117"/>
        <w:spacing w:line="360" w:lineRule="auto"/>
        <w:ind w:firstLine="600" w:firstLineChars="250"/>
        <w:jc w:val="both"/>
        <w:rPr>
          <w:rFonts w:hint="eastAsia"/>
          <w:color w:val="auto"/>
          <w:lang w:eastAsia="zh-CN"/>
        </w:rPr>
      </w:pPr>
      <w:r>
        <w:rPr>
          <w:rFonts w:hint="eastAsia" w:ascii="宋体" w:hAnsi="宋体" w:eastAsia="宋体" w:cs="宋体"/>
          <w:color w:val="auto"/>
          <w:u w:val="none"/>
          <w:lang w:eastAsia="zh-CN"/>
        </w:rPr>
        <w:t>名称：</w:t>
      </w:r>
      <w:r>
        <w:rPr>
          <w:rFonts w:hint="eastAsia"/>
          <w:color w:val="auto"/>
          <w:lang w:eastAsia="zh-CN"/>
        </w:rPr>
        <w:t>白沙黎族自治县公安局</w:t>
      </w:r>
    </w:p>
    <w:p>
      <w:pPr>
        <w:pStyle w:val="117"/>
        <w:spacing w:line="360" w:lineRule="auto"/>
        <w:ind w:firstLine="600" w:firstLineChars="250"/>
        <w:jc w:val="both"/>
        <w:rPr>
          <w:rFonts w:hint="eastAsia" w:ascii="宋体" w:hAnsi="宋体" w:eastAsia="宋体" w:cs="宋体"/>
          <w:color w:val="auto"/>
          <w:sz w:val="24"/>
          <w:u w:val="none"/>
          <w:lang w:val="en-GB" w:eastAsia="zh-CN"/>
        </w:rPr>
      </w:pPr>
      <w:r>
        <w:rPr>
          <w:rFonts w:hint="eastAsia" w:ascii="宋体" w:hAnsi="宋体" w:eastAsia="宋体" w:cs="宋体"/>
          <w:color w:val="auto"/>
          <w:sz w:val="24"/>
          <w:u w:val="none"/>
          <w:lang w:val="en-GB" w:eastAsia="zh-CN"/>
        </w:rPr>
        <w:t>地址：</w:t>
      </w:r>
      <w:r>
        <w:rPr>
          <w:rFonts w:hint="eastAsia" w:cs="宋体"/>
          <w:color w:val="auto"/>
          <w:sz w:val="24"/>
          <w:u w:val="none"/>
          <w:lang w:val="en-GB" w:eastAsia="zh-CN"/>
        </w:rPr>
        <w:t>海南省白沙黎族自治县牙叉镇牙叉东路190号</w:t>
      </w:r>
    </w:p>
    <w:p>
      <w:pPr>
        <w:pStyle w:val="117"/>
        <w:spacing w:line="360" w:lineRule="auto"/>
        <w:ind w:firstLine="600" w:firstLineChars="250"/>
        <w:jc w:val="both"/>
        <w:rPr>
          <w:rFonts w:hint="default" w:ascii="宋体" w:hAnsi="宋体" w:eastAsia="宋体" w:cs="宋体"/>
          <w:color w:val="auto"/>
          <w:sz w:val="24"/>
          <w:u w:val="none"/>
          <w:lang w:val="en-US" w:eastAsia="zh-CN"/>
        </w:rPr>
      </w:pPr>
      <w:r>
        <w:rPr>
          <w:rFonts w:hint="eastAsia" w:ascii="宋体" w:hAnsi="宋体" w:eastAsia="宋体" w:cs="宋体"/>
          <w:color w:val="auto"/>
          <w:sz w:val="24"/>
          <w:u w:val="none"/>
          <w:lang w:val="en-GB" w:eastAsia="zh-CN"/>
        </w:rPr>
        <w:t>电话：</w:t>
      </w:r>
      <w:r>
        <w:rPr>
          <w:rFonts w:hint="eastAsia" w:cs="宋体"/>
          <w:color w:val="auto"/>
          <w:sz w:val="24"/>
          <w:u w:val="none"/>
          <w:lang w:val="en-US" w:eastAsia="zh-CN"/>
        </w:rPr>
        <w:t>0898-27728358</w:t>
      </w:r>
    </w:p>
    <w:p>
      <w:pPr>
        <w:pStyle w:val="117"/>
        <w:spacing w:line="360" w:lineRule="auto"/>
        <w:ind w:firstLine="600" w:firstLineChars="250"/>
        <w:jc w:val="both"/>
        <w:rPr>
          <w:rFonts w:hint="eastAsia" w:ascii="宋体" w:hAnsi="宋体"/>
          <w:bCs/>
          <w:color w:val="auto"/>
          <w:sz w:val="24"/>
        </w:rPr>
      </w:pPr>
      <w:r>
        <w:rPr>
          <w:rFonts w:hint="eastAsia" w:ascii="宋体" w:hAnsi="宋体" w:eastAsia="宋体" w:cs="宋体"/>
          <w:color w:val="auto"/>
          <w:sz w:val="24"/>
          <w:u w:val="none"/>
          <w:lang w:val="en-GB" w:eastAsia="zh-CN"/>
        </w:rPr>
        <w:t>联系人：</w:t>
      </w:r>
      <w:r>
        <w:rPr>
          <w:rFonts w:hint="eastAsia" w:cs="宋体"/>
          <w:color w:val="auto"/>
          <w:sz w:val="24"/>
          <w:u w:val="none"/>
          <w:lang w:val="en-GB" w:eastAsia="zh-CN"/>
        </w:rPr>
        <w:t>李警官</w:t>
      </w:r>
    </w:p>
    <w:p>
      <w:pPr>
        <w:spacing w:line="360" w:lineRule="auto"/>
        <w:jc w:val="left"/>
        <w:outlineLvl w:val="0"/>
        <w:rPr>
          <w:rFonts w:hint="eastAsia" w:ascii="宋体" w:hAnsi="宋体" w:eastAsia="宋体" w:cs="宋体"/>
          <w:color w:val="auto"/>
        </w:rPr>
      </w:pPr>
      <w:r>
        <w:rPr>
          <w:rFonts w:hint="eastAsia" w:ascii="宋体" w:hAnsi="宋体" w:eastAsia="宋体" w:cs="宋体"/>
          <w:b/>
          <w:color w:val="auto"/>
          <w:sz w:val="24"/>
          <w:lang w:eastAsia="zh-CN"/>
        </w:rPr>
        <w:t>七</w:t>
      </w:r>
      <w:r>
        <w:rPr>
          <w:rFonts w:hint="eastAsia" w:ascii="宋体" w:hAnsi="宋体" w:eastAsia="宋体" w:cs="宋体"/>
          <w:b/>
          <w:color w:val="auto"/>
          <w:sz w:val="24"/>
        </w:rPr>
        <w:t>、</w:t>
      </w:r>
      <w:r>
        <w:rPr>
          <w:rFonts w:hint="eastAsia" w:ascii="宋体" w:hAnsi="宋体" w:eastAsia="宋体" w:cs="宋体"/>
          <w:b/>
          <w:color w:val="auto"/>
          <w:sz w:val="24"/>
          <w:lang w:eastAsia="zh-CN"/>
        </w:rPr>
        <w:t>代理机构</w:t>
      </w:r>
      <w:r>
        <w:rPr>
          <w:rFonts w:hint="eastAsia" w:ascii="宋体" w:hAnsi="宋体" w:eastAsia="宋体" w:cs="宋体"/>
          <w:b/>
          <w:color w:val="auto"/>
          <w:sz w:val="24"/>
        </w:rPr>
        <w:t>联系方式</w:t>
      </w:r>
    </w:p>
    <w:p>
      <w:pPr>
        <w:pStyle w:val="117"/>
        <w:spacing w:line="360" w:lineRule="auto"/>
        <w:ind w:firstLine="600" w:firstLineChars="250"/>
        <w:jc w:val="both"/>
        <w:rPr>
          <w:rFonts w:hint="eastAsia" w:ascii="宋体" w:hAnsi="宋体" w:eastAsia="宋体" w:cs="宋体"/>
          <w:color w:val="auto"/>
          <w:lang w:eastAsia="zh-CN"/>
        </w:rPr>
      </w:pPr>
      <w:r>
        <w:rPr>
          <w:rFonts w:hint="eastAsia" w:ascii="宋体" w:hAnsi="宋体" w:eastAsia="宋体" w:cs="宋体"/>
          <w:color w:val="auto"/>
        </w:rPr>
        <w:t>代理机构：</w:t>
      </w:r>
      <w:r>
        <w:rPr>
          <w:rFonts w:hint="eastAsia" w:cs="宋体"/>
          <w:color w:val="auto"/>
          <w:lang w:eastAsia="zh-CN"/>
        </w:rPr>
        <w:t>海南众采招标代理有限公司</w:t>
      </w:r>
    </w:p>
    <w:p>
      <w:pPr>
        <w:spacing w:line="360" w:lineRule="auto"/>
        <w:ind w:firstLine="480"/>
        <w:rPr>
          <w:rFonts w:hint="eastAsia" w:ascii="宋体" w:hAnsi="宋体" w:eastAsia="宋体"/>
          <w:bCs/>
          <w:color w:val="auto"/>
          <w:sz w:val="24"/>
          <w:lang w:eastAsia="zh-CN"/>
        </w:rPr>
      </w:pPr>
      <w:r>
        <w:rPr>
          <w:rFonts w:hint="eastAsia" w:ascii="宋体" w:hAnsi="宋体"/>
          <w:bCs/>
          <w:color w:val="auto"/>
          <w:sz w:val="24"/>
        </w:rPr>
        <w:t>地址：</w:t>
      </w:r>
      <w:r>
        <w:rPr>
          <w:rFonts w:hint="eastAsia" w:ascii="宋体" w:hAnsi="宋体"/>
          <w:bCs/>
          <w:color w:val="auto"/>
          <w:sz w:val="24"/>
          <w:lang w:eastAsia="zh-CN"/>
        </w:rPr>
        <w:t>海南省海口市美兰区名门广场北区C栋1206室</w:t>
      </w:r>
    </w:p>
    <w:p>
      <w:pPr>
        <w:spacing w:line="360" w:lineRule="auto"/>
        <w:ind w:firstLine="480"/>
        <w:rPr>
          <w:rFonts w:ascii="宋体" w:hAnsi="宋体"/>
          <w:bCs/>
          <w:color w:val="auto"/>
          <w:sz w:val="24"/>
        </w:rPr>
      </w:pPr>
      <w:r>
        <w:rPr>
          <w:rFonts w:hint="eastAsia" w:ascii="宋体" w:hAnsi="宋体"/>
          <w:bCs/>
          <w:color w:val="auto"/>
          <w:sz w:val="24"/>
        </w:rPr>
        <w:t>电话：</w:t>
      </w:r>
      <w:r>
        <w:rPr>
          <w:rFonts w:hint="eastAsia" w:ascii="宋体" w:hAnsi="宋体"/>
          <w:bCs/>
          <w:color w:val="auto"/>
          <w:sz w:val="24"/>
          <w:lang w:eastAsia="zh-CN"/>
        </w:rPr>
        <w:t>0898-65321440</w:t>
      </w:r>
      <w:r>
        <w:rPr>
          <w:rFonts w:hint="eastAsia" w:ascii="宋体" w:hAnsi="宋体"/>
          <w:bCs/>
          <w:color w:val="auto"/>
          <w:sz w:val="24"/>
        </w:rPr>
        <w:t xml:space="preserve">           </w:t>
      </w:r>
    </w:p>
    <w:p>
      <w:pPr>
        <w:spacing w:line="360" w:lineRule="auto"/>
        <w:ind w:firstLine="480"/>
        <w:rPr>
          <w:rFonts w:hint="eastAsia" w:ascii="宋体" w:hAnsi="宋体"/>
          <w:bCs/>
          <w:color w:val="auto"/>
          <w:sz w:val="24"/>
          <w:lang w:val="en-US" w:eastAsia="zh-CN"/>
        </w:rPr>
      </w:pPr>
      <w:r>
        <w:rPr>
          <w:rFonts w:hint="eastAsia" w:ascii="宋体" w:hAnsi="宋体"/>
          <w:bCs/>
          <w:color w:val="auto"/>
          <w:sz w:val="24"/>
        </w:rPr>
        <w:t>联系人:</w:t>
      </w:r>
      <w:r>
        <w:rPr>
          <w:rFonts w:hint="eastAsia" w:ascii="宋体" w:hAnsi="宋体"/>
          <w:bCs/>
          <w:color w:val="auto"/>
          <w:sz w:val="24"/>
          <w:lang w:eastAsia="zh-CN"/>
        </w:rPr>
        <w:t>蔡工</w:t>
      </w:r>
      <w:r>
        <w:rPr>
          <w:rFonts w:hint="eastAsia" w:ascii="宋体" w:hAnsi="宋体"/>
          <w:bCs/>
          <w:color w:val="auto"/>
          <w:sz w:val="24"/>
        </w:rPr>
        <w:t xml:space="preserve">      </w:t>
      </w:r>
      <w:r>
        <w:rPr>
          <w:rFonts w:hint="eastAsia" w:ascii="宋体" w:hAnsi="宋体"/>
          <w:bCs/>
          <w:color w:val="auto"/>
          <w:sz w:val="24"/>
          <w:lang w:val="en-US" w:eastAsia="zh-CN"/>
        </w:rPr>
        <w:t xml:space="preserve">            </w:t>
      </w:r>
    </w:p>
    <w:p>
      <w:pPr>
        <w:spacing w:line="360" w:lineRule="auto"/>
        <w:ind w:firstLine="480"/>
        <w:rPr>
          <w:rFonts w:hint="eastAsia" w:ascii="宋体" w:hAnsi="宋体"/>
          <w:bCs/>
          <w:color w:val="auto"/>
          <w:sz w:val="24"/>
          <w:lang w:val="en-US" w:eastAsia="zh-CN"/>
        </w:rPr>
      </w:pPr>
    </w:p>
    <w:p>
      <w:pPr>
        <w:spacing w:line="360" w:lineRule="auto"/>
        <w:ind w:firstLine="787" w:firstLineChars="328"/>
        <w:rPr>
          <w:rFonts w:hint="eastAsia" w:ascii="宋体" w:hAnsi="宋体"/>
          <w:bCs/>
          <w:color w:val="auto"/>
          <w:sz w:val="24"/>
          <w:lang w:val="en-US" w:eastAsia="zh-CN"/>
        </w:rPr>
      </w:pPr>
    </w:p>
    <w:p>
      <w:pPr>
        <w:spacing w:line="360" w:lineRule="auto"/>
        <w:ind w:firstLine="787" w:firstLineChars="328"/>
        <w:rPr>
          <w:rFonts w:hint="eastAsia" w:ascii="宋体" w:hAnsi="宋体"/>
          <w:bCs/>
          <w:color w:val="auto"/>
          <w:sz w:val="24"/>
          <w:lang w:val="en-US" w:eastAsia="zh-CN"/>
        </w:rPr>
      </w:pPr>
    </w:p>
    <w:p>
      <w:pPr>
        <w:spacing w:line="360" w:lineRule="auto"/>
        <w:ind w:firstLine="5520" w:firstLineChars="2300"/>
        <w:rPr>
          <w:rFonts w:ascii="宋体" w:hAnsi="宋体"/>
          <w:bCs/>
          <w:color w:val="auto"/>
          <w:sz w:val="24"/>
        </w:rPr>
      </w:pPr>
      <w:r>
        <w:rPr>
          <w:rFonts w:hint="eastAsia" w:ascii="宋体" w:hAnsi="宋体" w:cs="Tahoma"/>
          <w:color w:val="auto"/>
          <w:sz w:val="24"/>
          <w:lang w:eastAsia="zh-CN"/>
        </w:rPr>
        <w:t>2023</w:t>
      </w:r>
      <w:r>
        <w:rPr>
          <w:rFonts w:hint="eastAsia" w:ascii="宋体" w:hAnsi="宋体" w:cs="Tahoma"/>
          <w:color w:val="auto"/>
          <w:sz w:val="24"/>
        </w:rPr>
        <w:t>年</w:t>
      </w:r>
      <w:r>
        <w:rPr>
          <w:rFonts w:hint="eastAsia" w:ascii="宋体" w:hAnsi="宋体"/>
          <w:bCs/>
          <w:color w:val="auto"/>
          <w:sz w:val="24"/>
          <w:lang w:val="en-US" w:eastAsia="zh-CN"/>
        </w:rPr>
        <w:t>08</w:t>
      </w:r>
      <w:r>
        <w:rPr>
          <w:rFonts w:hint="eastAsia" w:ascii="宋体" w:hAnsi="宋体"/>
          <w:bCs/>
          <w:color w:val="auto"/>
          <w:sz w:val="24"/>
        </w:rPr>
        <w:t>月</w:t>
      </w:r>
      <w:r>
        <w:rPr>
          <w:rFonts w:hint="eastAsia" w:ascii="宋体" w:hAnsi="宋体"/>
          <w:bCs/>
          <w:color w:val="auto"/>
          <w:sz w:val="24"/>
          <w:lang w:val="en-US" w:eastAsia="zh-CN"/>
        </w:rPr>
        <w:t>14</w:t>
      </w:r>
      <w:r>
        <w:rPr>
          <w:rFonts w:hint="eastAsia" w:ascii="宋体" w:hAnsi="宋体"/>
          <w:bCs/>
          <w:color w:val="auto"/>
          <w:sz w:val="24"/>
        </w:rPr>
        <w:t>日</w:t>
      </w:r>
    </w:p>
    <w:p>
      <w:pPr>
        <w:spacing w:line="360" w:lineRule="auto"/>
        <w:ind w:right="480"/>
        <w:jc w:val="both"/>
        <w:rPr>
          <w:color w:val="auto"/>
        </w:rPr>
      </w:pPr>
      <w:r>
        <w:rPr>
          <w:rFonts w:hint="eastAsia" w:ascii="宋体" w:hAnsi="宋体"/>
          <w:bCs/>
          <w:color w:val="auto"/>
          <w:sz w:val="24"/>
        </w:rPr>
        <w:t xml:space="preserve">                                  </w:t>
      </w:r>
      <w:bookmarkStart w:id="2" w:name="_Toc1660484"/>
    </w:p>
    <w:p>
      <w:pPr>
        <w:spacing w:line="360" w:lineRule="auto"/>
        <w:jc w:val="center"/>
        <w:rPr>
          <w:rFonts w:hint="eastAsia"/>
          <w:b/>
          <w:color w:val="auto"/>
          <w:sz w:val="28"/>
          <w:szCs w:val="28"/>
        </w:rPr>
      </w:pPr>
    </w:p>
    <w:p>
      <w:pPr>
        <w:rPr>
          <w:rFonts w:hint="eastAsia"/>
          <w:b/>
          <w:color w:val="auto"/>
          <w:sz w:val="28"/>
          <w:szCs w:val="28"/>
        </w:rPr>
      </w:pPr>
      <w:r>
        <w:rPr>
          <w:rFonts w:hint="eastAsia"/>
          <w:b/>
          <w:color w:val="auto"/>
          <w:sz w:val="28"/>
          <w:szCs w:val="28"/>
        </w:rPr>
        <w:br w:type="page"/>
      </w:r>
    </w:p>
    <w:p>
      <w:pPr>
        <w:spacing w:line="360" w:lineRule="auto"/>
        <w:jc w:val="center"/>
        <w:rPr>
          <w:b/>
          <w:color w:val="auto"/>
          <w:sz w:val="28"/>
          <w:szCs w:val="28"/>
        </w:rPr>
      </w:pPr>
      <w:r>
        <w:rPr>
          <w:rFonts w:hint="eastAsia"/>
          <w:b/>
          <w:color w:val="auto"/>
          <w:sz w:val="28"/>
          <w:szCs w:val="28"/>
        </w:rPr>
        <w:t>第二章、谈判须知</w:t>
      </w:r>
      <w:bookmarkEnd w:id="2"/>
    </w:p>
    <w:p>
      <w:pPr>
        <w:spacing w:before="120" w:after="240" w:line="360" w:lineRule="auto"/>
        <w:jc w:val="center"/>
        <w:rPr>
          <w:rFonts w:ascii="宋体" w:hAnsi="宋体" w:cs="黑体"/>
          <w:b/>
          <w:color w:val="auto"/>
          <w:sz w:val="24"/>
        </w:rPr>
      </w:pPr>
      <w:r>
        <w:rPr>
          <w:rFonts w:hint="eastAsia" w:ascii="宋体" w:hAnsi="宋体" w:cs="黑体"/>
          <w:b/>
          <w:color w:val="auto"/>
          <w:sz w:val="24"/>
        </w:rPr>
        <w:t>谈判须知前附表</w:t>
      </w:r>
    </w:p>
    <w:p>
      <w:pPr>
        <w:spacing w:line="360" w:lineRule="auto"/>
        <w:ind w:firstLine="480" w:firstLineChars="200"/>
        <w:rPr>
          <w:rFonts w:ascii="宋体" w:hAnsi="宋体" w:cs="仿宋"/>
          <w:color w:val="auto"/>
          <w:sz w:val="24"/>
        </w:rPr>
      </w:pPr>
      <w:r>
        <w:rPr>
          <w:rFonts w:hint="eastAsia" w:ascii="宋体" w:hAnsi="宋体" w:cs="仿宋"/>
          <w:color w:val="auto"/>
          <w:sz w:val="24"/>
        </w:rPr>
        <w:t>“谈判须知前附表”用于进一步明确正文中的未尽事宜，由采购人根据项目的具体特点和实际需要编制和填写，如有与本章正文内容不一致的，以本表的内容为准。</w:t>
      </w:r>
    </w:p>
    <w:tbl>
      <w:tblPr>
        <w:tblStyle w:val="24"/>
        <w:tblW w:w="897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3"/>
        <w:gridCol w:w="236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blHeader/>
        </w:trPr>
        <w:tc>
          <w:tcPr>
            <w:tcW w:w="663" w:type="dxa"/>
            <w:vAlign w:val="center"/>
          </w:tcPr>
          <w:p>
            <w:pPr>
              <w:pStyle w:val="90"/>
              <w:spacing w:line="360" w:lineRule="auto"/>
              <w:ind w:left="9"/>
              <w:jc w:val="center"/>
              <w:rPr>
                <w:rFonts w:cs="仿宋"/>
                <w:b/>
                <w:color w:val="auto"/>
                <w:lang w:val="zh-CN"/>
              </w:rPr>
            </w:pPr>
            <w:r>
              <w:rPr>
                <w:rFonts w:hint="eastAsia" w:cs="仿宋"/>
                <w:b/>
                <w:color w:val="auto"/>
                <w:lang w:val="zh-CN"/>
              </w:rPr>
              <w:t xml:space="preserve">序号 </w:t>
            </w:r>
          </w:p>
        </w:tc>
        <w:tc>
          <w:tcPr>
            <w:tcW w:w="2360" w:type="dxa"/>
            <w:vAlign w:val="center"/>
          </w:tcPr>
          <w:p>
            <w:pPr>
              <w:pStyle w:val="90"/>
              <w:spacing w:line="360" w:lineRule="auto"/>
              <w:jc w:val="center"/>
              <w:rPr>
                <w:rFonts w:cs="仿宋"/>
                <w:b/>
                <w:color w:val="auto"/>
                <w:lang w:val="zh-CN"/>
              </w:rPr>
            </w:pPr>
            <w:r>
              <w:rPr>
                <w:rFonts w:hint="eastAsia" w:cs="仿宋"/>
                <w:b/>
                <w:color w:val="auto"/>
                <w:lang w:val="zh-CN"/>
              </w:rPr>
              <w:t>内容</w:t>
            </w:r>
          </w:p>
        </w:tc>
        <w:tc>
          <w:tcPr>
            <w:tcW w:w="5954" w:type="dxa"/>
            <w:vAlign w:val="center"/>
          </w:tcPr>
          <w:p>
            <w:pPr>
              <w:pStyle w:val="90"/>
              <w:spacing w:line="360" w:lineRule="auto"/>
              <w:jc w:val="center"/>
              <w:rPr>
                <w:rFonts w:cs="仿宋"/>
                <w:b/>
                <w:color w:val="auto"/>
                <w:lang w:val="zh-CN"/>
              </w:rPr>
            </w:pPr>
            <w:r>
              <w:rPr>
                <w:rFonts w:hint="eastAsia" w:cs="仿宋"/>
                <w:b/>
                <w:color w:val="auto"/>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663" w:type="dxa"/>
            <w:vAlign w:val="center"/>
          </w:tcPr>
          <w:p>
            <w:pPr>
              <w:pStyle w:val="90"/>
              <w:spacing w:line="360" w:lineRule="auto"/>
              <w:ind w:left="9" w:firstLine="240" w:firstLineChars="100"/>
              <w:jc w:val="both"/>
              <w:rPr>
                <w:rFonts w:cs="仿宋"/>
                <w:color w:val="auto"/>
              </w:rPr>
            </w:pPr>
            <w:r>
              <w:rPr>
                <w:rFonts w:hint="eastAsia" w:cs="仿宋"/>
                <w:color w:val="auto"/>
              </w:rPr>
              <w:t>1</w:t>
            </w:r>
          </w:p>
        </w:tc>
        <w:tc>
          <w:tcPr>
            <w:tcW w:w="2360" w:type="dxa"/>
            <w:vAlign w:val="center"/>
          </w:tcPr>
          <w:p>
            <w:pPr>
              <w:spacing w:line="360" w:lineRule="auto"/>
              <w:rPr>
                <w:rFonts w:ascii="宋体" w:hAnsi="宋体" w:cs="仿宋"/>
                <w:color w:val="auto"/>
                <w:kern w:val="0"/>
                <w:sz w:val="24"/>
                <w:szCs w:val="24"/>
                <w:lang w:val="zh-CN"/>
              </w:rPr>
            </w:pPr>
            <w:r>
              <w:rPr>
                <w:rFonts w:hint="eastAsia" w:ascii="宋体" w:hAnsi="宋体" w:cs="仿宋"/>
                <w:color w:val="auto"/>
                <w:kern w:val="0"/>
                <w:sz w:val="24"/>
                <w:szCs w:val="24"/>
                <w:lang w:val="zh-CN"/>
              </w:rPr>
              <w:t>采购人名称</w:t>
            </w:r>
          </w:p>
        </w:tc>
        <w:tc>
          <w:tcPr>
            <w:tcW w:w="5954" w:type="dxa"/>
            <w:vAlign w:val="center"/>
          </w:tcPr>
          <w:p>
            <w:pPr>
              <w:spacing w:line="360" w:lineRule="auto"/>
              <w:jc w:val="center"/>
              <w:rPr>
                <w:rFonts w:ascii="宋体" w:hAnsi="宋体" w:cs="仿宋"/>
                <w:color w:val="auto"/>
                <w:sz w:val="24"/>
                <w:szCs w:val="24"/>
                <w:lang w:val="zh-CN"/>
              </w:rPr>
            </w:pPr>
            <w:r>
              <w:rPr>
                <w:rFonts w:hint="eastAsia" w:ascii="宋体" w:hAnsi="宋体" w:cs="仿宋"/>
                <w:color w:val="auto"/>
                <w:sz w:val="24"/>
                <w:szCs w:val="24"/>
                <w:lang w:val="zh-CN" w:eastAsia="zh-CN"/>
              </w:rPr>
              <w:t>白沙黎族自治县公安局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5" w:hRule="atLeast"/>
        </w:trPr>
        <w:tc>
          <w:tcPr>
            <w:tcW w:w="663" w:type="dxa"/>
            <w:vAlign w:val="center"/>
          </w:tcPr>
          <w:p>
            <w:pPr>
              <w:pStyle w:val="90"/>
              <w:spacing w:line="360" w:lineRule="auto"/>
              <w:ind w:left="9"/>
              <w:jc w:val="center"/>
              <w:rPr>
                <w:rFonts w:cs="仿宋"/>
                <w:color w:val="auto"/>
              </w:rPr>
            </w:pPr>
            <w:r>
              <w:rPr>
                <w:rFonts w:hint="eastAsia" w:cs="仿宋"/>
                <w:color w:val="auto"/>
              </w:rPr>
              <w:t>2</w:t>
            </w:r>
          </w:p>
        </w:tc>
        <w:tc>
          <w:tcPr>
            <w:tcW w:w="2360" w:type="dxa"/>
            <w:vAlign w:val="center"/>
          </w:tcPr>
          <w:p>
            <w:pPr>
              <w:spacing w:line="360" w:lineRule="auto"/>
              <w:jc w:val="left"/>
              <w:rPr>
                <w:rFonts w:ascii="宋体" w:hAnsi="宋体" w:cs="仿宋"/>
                <w:color w:val="auto"/>
                <w:sz w:val="24"/>
                <w:szCs w:val="24"/>
              </w:rPr>
            </w:pPr>
            <w:r>
              <w:rPr>
                <w:rFonts w:hint="eastAsia" w:ascii="宋体" w:hAnsi="宋体" w:cs="仿宋"/>
                <w:color w:val="auto"/>
                <w:sz w:val="24"/>
                <w:szCs w:val="24"/>
              </w:rPr>
              <w:t>项目预算</w:t>
            </w:r>
          </w:p>
        </w:tc>
        <w:tc>
          <w:tcPr>
            <w:tcW w:w="5954" w:type="dxa"/>
            <w:vAlign w:val="center"/>
          </w:tcPr>
          <w:p>
            <w:pPr>
              <w:spacing w:line="360" w:lineRule="auto"/>
              <w:rPr>
                <w:rFonts w:ascii="宋体" w:hAnsi="宋体" w:cs="仿宋"/>
                <w:color w:val="auto"/>
                <w:sz w:val="24"/>
                <w:szCs w:val="24"/>
              </w:rPr>
            </w:pPr>
            <w:r>
              <w:rPr>
                <w:rFonts w:hint="eastAsia" w:ascii="宋体" w:hAnsi="宋体" w:cs="仿宋"/>
                <w:color w:val="auto"/>
                <w:sz w:val="24"/>
                <w:szCs w:val="24"/>
              </w:rPr>
              <w:t>1、本项目预算为人民币</w:t>
            </w:r>
            <w:r>
              <w:rPr>
                <w:rFonts w:hint="eastAsia" w:ascii="宋体" w:hAnsi="宋体" w:cs="仿宋"/>
                <w:color w:val="auto"/>
                <w:sz w:val="24"/>
                <w:szCs w:val="24"/>
                <w:lang w:val="en-US" w:eastAsia="zh-CN"/>
              </w:rPr>
              <w:t>1390000.00元</w:t>
            </w:r>
          </w:p>
          <w:p>
            <w:pPr>
              <w:spacing w:line="360" w:lineRule="auto"/>
              <w:rPr>
                <w:rFonts w:ascii="宋体" w:hAnsi="宋体" w:cs="仿宋"/>
                <w:color w:val="auto"/>
                <w:sz w:val="24"/>
                <w:szCs w:val="24"/>
              </w:rPr>
            </w:pPr>
            <w:r>
              <w:rPr>
                <w:rFonts w:hint="eastAsia" w:ascii="宋体" w:hAnsi="宋体" w:cs="仿宋"/>
                <w:color w:val="auto"/>
                <w:sz w:val="24"/>
                <w:szCs w:val="24"/>
              </w:rPr>
              <w:t>2、分包</w:t>
            </w:r>
            <w:r>
              <w:rPr>
                <w:rFonts w:ascii="宋体" w:hAnsi="宋体" w:cs="仿宋"/>
                <w:color w:val="auto"/>
                <w:sz w:val="24"/>
                <w:szCs w:val="24"/>
              </w:rPr>
              <w:t>情况：</w:t>
            </w:r>
            <w:r>
              <w:rPr>
                <w:rFonts w:hint="eastAsia" w:ascii="宋体" w:hAnsi="宋体" w:cs="仿宋"/>
                <w:color w:val="auto"/>
                <w:sz w:val="24"/>
                <w:szCs w:val="24"/>
              </w:rPr>
              <w:t>项目本身</w:t>
            </w:r>
          </w:p>
          <w:p>
            <w:pPr>
              <w:spacing w:line="360" w:lineRule="auto"/>
              <w:rPr>
                <w:rFonts w:ascii="宋体" w:hAnsi="宋体" w:cs="仿宋"/>
                <w:color w:val="auto"/>
                <w:sz w:val="24"/>
                <w:szCs w:val="24"/>
              </w:rPr>
            </w:pPr>
            <w:r>
              <w:rPr>
                <w:rFonts w:hint="eastAsia" w:ascii="宋体" w:hAnsi="宋体" w:cs="仿宋"/>
                <w:color w:val="auto"/>
                <w:sz w:val="24"/>
                <w:szCs w:val="24"/>
              </w:rPr>
              <w:t>3、供应商应有明确报价，超过项目预算或者无报价响应的，响应无效。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0"/>
              <w:spacing w:line="360" w:lineRule="auto"/>
              <w:ind w:left="9"/>
              <w:jc w:val="center"/>
              <w:rPr>
                <w:rFonts w:cs="仿宋"/>
                <w:color w:val="auto"/>
              </w:rPr>
            </w:pPr>
            <w:r>
              <w:rPr>
                <w:rFonts w:hint="eastAsia" w:cs="仿宋"/>
                <w:color w:val="auto"/>
              </w:rPr>
              <w:t>3</w:t>
            </w:r>
          </w:p>
        </w:tc>
        <w:tc>
          <w:tcPr>
            <w:tcW w:w="2360" w:type="dxa"/>
            <w:vAlign w:val="center"/>
          </w:tcPr>
          <w:p>
            <w:pPr>
              <w:spacing w:line="360" w:lineRule="auto"/>
              <w:jc w:val="left"/>
              <w:rPr>
                <w:rFonts w:ascii="宋体" w:hAnsi="宋体" w:cs="仿宋"/>
                <w:color w:val="auto"/>
                <w:sz w:val="24"/>
                <w:szCs w:val="24"/>
              </w:rPr>
            </w:pPr>
            <w:r>
              <w:rPr>
                <w:rFonts w:hint="eastAsia" w:ascii="宋体" w:hAnsi="宋体" w:cs="仿宋"/>
                <w:color w:val="auto"/>
                <w:sz w:val="24"/>
                <w:szCs w:val="24"/>
              </w:rPr>
              <w:t>递交响应文件时应出示和单独递交的身份证明材料</w:t>
            </w:r>
          </w:p>
        </w:tc>
        <w:tc>
          <w:tcPr>
            <w:tcW w:w="5954" w:type="dxa"/>
            <w:vAlign w:val="center"/>
          </w:tcPr>
          <w:p>
            <w:pPr>
              <w:pStyle w:val="94"/>
              <w:spacing w:line="360" w:lineRule="auto"/>
              <w:ind w:right="142" w:firstLine="0" w:firstLineChars="0"/>
              <w:rPr>
                <w:rFonts w:ascii="宋体" w:hAnsi="宋体" w:cs="仿宋"/>
                <w:color w:val="auto"/>
                <w:sz w:val="24"/>
                <w:szCs w:val="24"/>
              </w:rPr>
            </w:pPr>
            <w:r>
              <w:rPr>
                <w:rFonts w:hint="eastAsia" w:ascii="宋体" w:hAnsi="宋体" w:cs="仿宋"/>
                <w:color w:val="auto"/>
                <w:sz w:val="24"/>
                <w:szCs w:val="24"/>
              </w:rPr>
              <w:t>1、出示供应商代表身份证原件；</w:t>
            </w:r>
          </w:p>
          <w:p>
            <w:pPr>
              <w:pStyle w:val="94"/>
              <w:spacing w:line="360" w:lineRule="auto"/>
              <w:ind w:right="142" w:firstLine="0" w:firstLineChars="0"/>
              <w:rPr>
                <w:rFonts w:ascii="宋体" w:hAnsi="宋体" w:cs="仿宋"/>
                <w:color w:val="auto"/>
                <w:sz w:val="24"/>
                <w:szCs w:val="24"/>
              </w:rPr>
            </w:pPr>
            <w:r>
              <w:rPr>
                <w:rFonts w:hint="eastAsia" w:ascii="宋体" w:hAnsi="宋体" w:cs="仿宋"/>
                <w:color w:val="auto"/>
                <w:sz w:val="24"/>
                <w:szCs w:val="24"/>
              </w:rPr>
              <w:t>2、单独递交供应商代表身份证复印件；</w:t>
            </w:r>
          </w:p>
          <w:p>
            <w:pPr>
              <w:spacing w:line="360" w:lineRule="auto"/>
              <w:rPr>
                <w:rFonts w:ascii="宋体" w:hAnsi="宋体" w:cs="仿宋"/>
                <w:color w:val="auto"/>
                <w:kern w:val="0"/>
                <w:sz w:val="24"/>
                <w:szCs w:val="24"/>
                <w:lang w:val="zh-CN"/>
              </w:rPr>
            </w:pPr>
            <w:r>
              <w:rPr>
                <w:rFonts w:hint="eastAsia" w:ascii="宋体" w:hAnsi="宋体" w:cs="仿宋"/>
                <w:color w:val="auto"/>
                <w:sz w:val="24"/>
                <w:szCs w:val="24"/>
              </w:rPr>
              <w:t>3、如供应商代表不是法定代表人/主要负责人本人，还需单独递交法定代表人/主要负责人授权委托书原件。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0"/>
              <w:spacing w:line="360" w:lineRule="auto"/>
              <w:ind w:left="9"/>
              <w:jc w:val="center"/>
              <w:rPr>
                <w:rFonts w:cs="仿宋"/>
                <w:color w:val="auto"/>
                <w:lang w:val="zh-CN"/>
              </w:rPr>
            </w:pPr>
            <w:r>
              <w:rPr>
                <w:rFonts w:hint="eastAsia" w:cs="仿宋"/>
                <w:color w:val="auto"/>
              </w:rPr>
              <w:t>4</w:t>
            </w:r>
          </w:p>
        </w:tc>
        <w:tc>
          <w:tcPr>
            <w:tcW w:w="2360" w:type="dxa"/>
            <w:vAlign w:val="center"/>
          </w:tcPr>
          <w:p>
            <w:pPr>
              <w:spacing w:line="360" w:lineRule="auto"/>
              <w:rPr>
                <w:rFonts w:ascii="宋体" w:hAnsi="宋体" w:cs="仿宋"/>
                <w:color w:val="auto"/>
                <w:sz w:val="24"/>
                <w:szCs w:val="24"/>
              </w:rPr>
            </w:pPr>
            <w:r>
              <w:rPr>
                <w:rFonts w:hint="eastAsia" w:ascii="宋体" w:hAnsi="宋体" w:cs="仿宋"/>
                <w:color w:val="auto"/>
                <w:kern w:val="0"/>
                <w:sz w:val="24"/>
                <w:szCs w:val="24"/>
                <w:lang w:val="zh-CN"/>
              </w:rPr>
              <w:t>是否接受联合体响应</w:t>
            </w:r>
          </w:p>
        </w:tc>
        <w:tc>
          <w:tcPr>
            <w:tcW w:w="5954" w:type="dxa"/>
            <w:vAlign w:val="center"/>
          </w:tcPr>
          <w:p>
            <w:pPr>
              <w:spacing w:line="360" w:lineRule="auto"/>
              <w:jc w:val="center"/>
              <w:rPr>
                <w:rFonts w:ascii="宋体" w:hAnsi="宋体" w:cs="仿宋"/>
                <w:color w:val="auto"/>
                <w:kern w:val="0"/>
                <w:sz w:val="24"/>
                <w:szCs w:val="24"/>
                <w:lang w:val="zh-CN"/>
              </w:rPr>
            </w:pPr>
            <w:r>
              <w:rPr>
                <w:rFonts w:hint="eastAsia" w:ascii="宋体" w:hAnsi="宋体" w:cs="仿宋"/>
                <w:color w:val="auto"/>
                <w:sz w:val="24"/>
                <w:szCs w:val="24"/>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0"/>
              <w:spacing w:line="360" w:lineRule="auto"/>
              <w:ind w:left="9"/>
              <w:jc w:val="center"/>
              <w:rPr>
                <w:rFonts w:cs="仿宋"/>
                <w:color w:val="auto"/>
                <w:lang w:val="zh-CN"/>
              </w:rPr>
            </w:pPr>
            <w:r>
              <w:rPr>
                <w:rFonts w:hint="eastAsia" w:cs="仿宋"/>
                <w:color w:val="auto"/>
              </w:rPr>
              <w:t>5</w:t>
            </w:r>
          </w:p>
        </w:tc>
        <w:tc>
          <w:tcPr>
            <w:tcW w:w="2360" w:type="dxa"/>
            <w:vAlign w:val="center"/>
          </w:tcPr>
          <w:p>
            <w:pPr>
              <w:spacing w:line="360" w:lineRule="auto"/>
              <w:jc w:val="left"/>
              <w:rPr>
                <w:rFonts w:ascii="宋体" w:hAnsi="宋体" w:cs="仿宋"/>
                <w:color w:val="auto"/>
                <w:sz w:val="24"/>
                <w:szCs w:val="24"/>
              </w:rPr>
            </w:pPr>
            <w:r>
              <w:rPr>
                <w:rFonts w:hint="eastAsia" w:ascii="宋体" w:hAnsi="宋体" w:cs="仿宋"/>
                <w:color w:val="auto"/>
                <w:sz w:val="24"/>
                <w:szCs w:val="24"/>
              </w:rPr>
              <w:t>标前踏勘现场或/和标前答疑会</w:t>
            </w:r>
          </w:p>
        </w:tc>
        <w:tc>
          <w:tcPr>
            <w:tcW w:w="5954" w:type="dxa"/>
            <w:vAlign w:val="center"/>
          </w:tcPr>
          <w:p>
            <w:pPr>
              <w:spacing w:line="360" w:lineRule="auto"/>
              <w:jc w:val="center"/>
              <w:rPr>
                <w:rFonts w:ascii="宋体" w:hAnsi="宋体" w:cs="仿宋"/>
                <w:color w:val="auto"/>
                <w:kern w:val="0"/>
                <w:sz w:val="24"/>
                <w:szCs w:val="24"/>
                <w:lang w:val="zh-CN"/>
              </w:rPr>
            </w:pPr>
            <w:r>
              <w:rPr>
                <w:rFonts w:hint="eastAsia" w:ascii="宋体" w:hAnsi="宋体" w:cs="仿宋"/>
                <w:color w:val="auto"/>
                <w:kern w:val="0"/>
                <w:sz w:val="24"/>
                <w:szCs w:val="24"/>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0"/>
              <w:spacing w:line="360" w:lineRule="auto"/>
              <w:ind w:left="9"/>
              <w:jc w:val="center"/>
              <w:rPr>
                <w:rFonts w:cs="仿宋"/>
                <w:color w:val="auto"/>
                <w:lang w:val="zh-CN"/>
              </w:rPr>
            </w:pPr>
            <w:r>
              <w:rPr>
                <w:rFonts w:hint="eastAsia" w:cs="仿宋"/>
                <w:color w:val="auto"/>
              </w:rPr>
              <w:t>6</w:t>
            </w:r>
          </w:p>
        </w:tc>
        <w:tc>
          <w:tcPr>
            <w:tcW w:w="2360" w:type="dxa"/>
            <w:vAlign w:val="center"/>
          </w:tcPr>
          <w:p>
            <w:pPr>
              <w:pStyle w:val="90"/>
              <w:spacing w:line="360" w:lineRule="auto"/>
              <w:jc w:val="both"/>
              <w:rPr>
                <w:rFonts w:cs="仿宋"/>
                <w:color w:val="auto"/>
              </w:rPr>
            </w:pPr>
            <w:r>
              <w:rPr>
                <w:rFonts w:hint="eastAsia" w:cs="仿宋"/>
                <w:color w:val="auto"/>
                <w:lang w:val="zh-CN"/>
              </w:rPr>
              <w:t>述标和/或产（样）品演（展）示</w:t>
            </w:r>
          </w:p>
        </w:tc>
        <w:tc>
          <w:tcPr>
            <w:tcW w:w="5954" w:type="dxa"/>
            <w:vAlign w:val="center"/>
          </w:tcPr>
          <w:p>
            <w:pPr>
              <w:spacing w:line="360" w:lineRule="auto"/>
              <w:jc w:val="center"/>
              <w:rPr>
                <w:rFonts w:hint="default" w:ascii="宋体" w:hAnsi="宋体" w:cs="仿宋"/>
                <w:color w:val="auto"/>
                <w:sz w:val="24"/>
                <w:szCs w:val="24"/>
                <w:lang w:val="en-US"/>
              </w:rPr>
            </w:pPr>
            <w:r>
              <w:rPr>
                <w:rFonts w:hint="eastAsia" w:asciiTheme="minorEastAsia" w:hAnsiTheme="minorEastAsia" w:eastAsiaTheme="minorEastAsia" w:cstheme="minorEastAsia"/>
                <w:color w:val="auto"/>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0"/>
              <w:spacing w:line="360" w:lineRule="auto"/>
              <w:ind w:left="9"/>
              <w:jc w:val="center"/>
              <w:rPr>
                <w:rFonts w:cs="仿宋"/>
                <w:color w:val="auto"/>
                <w:lang w:val="zh-CN"/>
              </w:rPr>
            </w:pPr>
            <w:r>
              <w:rPr>
                <w:rFonts w:hint="eastAsia" w:cs="仿宋"/>
                <w:color w:val="auto"/>
              </w:rPr>
              <w:t>7</w:t>
            </w:r>
          </w:p>
        </w:tc>
        <w:tc>
          <w:tcPr>
            <w:tcW w:w="2360" w:type="dxa"/>
            <w:vAlign w:val="center"/>
          </w:tcPr>
          <w:p>
            <w:pPr>
              <w:spacing w:line="360" w:lineRule="auto"/>
              <w:jc w:val="left"/>
              <w:rPr>
                <w:rFonts w:ascii="宋体" w:hAnsi="宋体" w:cs="仿宋"/>
                <w:color w:val="auto"/>
                <w:sz w:val="24"/>
                <w:szCs w:val="24"/>
              </w:rPr>
            </w:pPr>
            <w:r>
              <w:rPr>
                <w:rFonts w:hint="eastAsia" w:ascii="宋体" w:hAnsi="宋体" w:cs="仿宋"/>
                <w:color w:val="auto"/>
                <w:sz w:val="24"/>
                <w:szCs w:val="24"/>
              </w:rPr>
              <w:t>是否接受备选响应方案和报价</w:t>
            </w:r>
          </w:p>
        </w:tc>
        <w:tc>
          <w:tcPr>
            <w:tcW w:w="5954" w:type="dxa"/>
            <w:vAlign w:val="center"/>
          </w:tcPr>
          <w:p>
            <w:pPr>
              <w:spacing w:line="360" w:lineRule="auto"/>
              <w:jc w:val="center"/>
              <w:rPr>
                <w:rFonts w:ascii="宋体" w:hAnsi="宋体" w:cs="仿宋"/>
                <w:color w:val="auto"/>
                <w:sz w:val="24"/>
                <w:szCs w:val="24"/>
              </w:rPr>
            </w:pPr>
            <w:r>
              <w:rPr>
                <w:rFonts w:hint="eastAsia" w:ascii="宋体" w:hAnsi="宋体" w:cs="仿宋"/>
                <w:color w:val="auto"/>
                <w:kern w:val="0"/>
                <w:sz w:val="24"/>
                <w:szCs w:val="24"/>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0"/>
              <w:spacing w:line="360" w:lineRule="auto"/>
              <w:ind w:left="9"/>
              <w:jc w:val="center"/>
              <w:rPr>
                <w:rFonts w:cs="仿宋"/>
                <w:color w:val="auto"/>
              </w:rPr>
            </w:pPr>
            <w:r>
              <w:rPr>
                <w:rFonts w:hint="eastAsia" w:cs="仿宋"/>
                <w:color w:val="auto"/>
              </w:rPr>
              <w:t>8</w:t>
            </w:r>
          </w:p>
        </w:tc>
        <w:tc>
          <w:tcPr>
            <w:tcW w:w="2360" w:type="dxa"/>
            <w:vAlign w:val="center"/>
          </w:tcPr>
          <w:p>
            <w:pPr>
              <w:spacing w:line="360" w:lineRule="auto"/>
              <w:ind w:right="144"/>
              <w:rPr>
                <w:rFonts w:ascii="宋体" w:hAnsi="宋体" w:cs="仿宋"/>
                <w:color w:val="auto"/>
                <w:sz w:val="24"/>
                <w:szCs w:val="24"/>
              </w:rPr>
            </w:pPr>
            <w:r>
              <w:rPr>
                <w:rFonts w:hint="eastAsia" w:ascii="宋体" w:hAnsi="宋体" w:cs="仿宋"/>
                <w:color w:val="auto"/>
                <w:sz w:val="24"/>
                <w:szCs w:val="24"/>
              </w:rPr>
              <w:t>是否允许供应商将项目非主体、非关键性工作交由他人完成</w:t>
            </w:r>
          </w:p>
        </w:tc>
        <w:tc>
          <w:tcPr>
            <w:tcW w:w="5954" w:type="dxa"/>
            <w:vAlign w:val="center"/>
          </w:tcPr>
          <w:p>
            <w:pPr>
              <w:spacing w:line="360" w:lineRule="auto"/>
              <w:jc w:val="center"/>
              <w:rPr>
                <w:rFonts w:ascii="宋体" w:hAnsi="宋体" w:cs="仿宋"/>
                <w:color w:val="auto"/>
                <w:sz w:val="24"/>
                <w:szCs w:val="24"/>
              </w:rPr>
            </w:pPr>
            <w:r>
              <w:rPr>
                <w:rFonts w:hint="eastAsia" w:ascii="宋体" w:hAnsi="宋体" w:cs="仿宋"/>
                <w:color w:val="auto"/>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0"/>
              <w:spacing w:line="360" w:lineRule="auto"/>
              <w:ind w:left="9"/>
              <w:jc w:val="center"/>
              <w:rPr>
                <w:rFonts w:cs="仿宋"/>
                <w:color w:val="auto"/>
              </w:rPr>
            </w:pPr>
            <w:r>
              <w:rPr>
                <w:rFonts w:hint="eastAsia" w:cs="仿宋"/>
                <w:color w:val="auto"/>
              </w:rPr>
              <w:t>9</w:t>
            </w:r>
          </w:p>
        </w:tc>
        <w:tc>
          <w:tcPr>
            <w:tcW w:w="2360" w:type="dxa"/>
            <w:vAlign w:val="center"/>
          </w:tcPr>
          <w:p>
            <w:pPr>
              <w:spacing w:line="360" w:lineRule="auto"/>
              <w:ind w:right="144"/>
              <w:rPr>
                <w:rFonts w:ascii="宋体" w:hAnsi="宋体" w:cs="仿宋"/>
                <w:color w:val="auto"/>
                <w:sz w:val="24"/>
                <w:szCs w:val="24"/>
              </w:rPr>
            </w:pPr>
            <w:r>
              <w:rPr>
                <w:rFonts w:hint="eastAsia" w:ascii="宋体" w:hAnsi="宋体" w:cs="仿宋"/>
                <w:color w:val="auto"/>
                <w:sz w:val="24"/>
                <w:szCs w:val="24"/>
              </w:rPr>
              <w:t>是否收取履约保证金</w:t>
            </w:r>
          </w:p>
        </w:tc>
        <w:tc>
          <w:tcPr>
            <w:tcW w:w="5954" w:type="dxa"/>
            <w:vAlign w:val="center"/>
          </w:tcPr>
          <w:p>
            <w:pPr>
              <w:spacing w:line="360" w:lineRule="auto"/>
              <w:jc w:val="center"/>
              <w:rPr>
                <w:rFonts w:ascii="宋体" w:hAnsi="宋体" w:cs="仿宋"/>
                <w:color w:val="auto"/>
                <w:sz w:val="24"/>
                <w:szCs w:val="24"/>
              </w:rPr>
            </w:pPr>
            <w:r>
              <w:rPr>
                <w:rFonts w:hint="eastAsia" w:ascii="宋体" w:hAnsi="宋体" w:cs="仿宋"/>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0"/>
              <w:spacing w:line="360" w:lineRule="auto"/>
              <w:ind w:left="9"/>
              <w:jc w:val="center"/>
              <w:rPr>
                <w:rFonts w:cs="仿宋"/>
                <w:color w:val="auto"/>
              </w:rPr>
            </w:pPr>
            <w:r>
              <w:rPr>
                <w:rFonts w:hint="eastAsia" w:cs="仿宋"/>
                <w:color w:val="auto"/>
              </w:rPr>
              <w:t>10</w:t>
            </w:r>
          </w:p>
        </w:tc>
        <w:tc>
          <w:tcPr>
            <w:tcW w:w="2360" w:type="dxa"/>
            <w:vAlign w:val="center"/>
          </w:tcPr>
          <w:p>
            <w:pPr>
              <w:spacing w:line="360" w:lineRule="auto"/>
              <w:ind w:right="144"/>
              <w:rPr>
                <w:rFonts w:ascii="宋体" w:hAnsi="宋体" w:cs="仿宋"/>
                <w:color w:val="auto"/>
                <w:sz w:val="24"/>
                <w:szCs w:val="24"/>
              </w:rPr>
            </w:pPr>
            <w:r>
              <w:rPr>
                <w:rFonts w:hint="eastAsia" w:ascii="宋体" w:hAnsi="宋体" w:cs="仿宋"/>
                <w:color w:val="auto"/>
                <w:sz w:val="24"/>
              </w:rPr>
              <w:t>供应商家数计算</w:t>
            </w:r>
          </w:p>
        </w:tc>
        <w:tc>
          <w:tcPr>
            <w:tcW w:w="5954" w:type="dxa"/>
            <w:vAlign w:val="center"/>
          </w:tcPr>
          <w:p>
            <w:pPr>
              <w:spacing w:line="360" w:lineRule="auto"/>
              <w:ind w:firstLine="480" w:firstLineChars="200"/>
              <w:rPr>
                <w:rFonts w:ascii="宋体" w:hAnsi="宋体" w:cs="仿宋"/>
                <w:color w:val="auto"/>
                <w:sz w:val="24"/>
                <w:szCs w:val="24"/>
              </w:rPr>
            </w:pPr>
            <w:r>
              <w:rPr>
                <w:rFonts w:hint="eastAsia" w:ascii="宋体" w:hAnsi="宋体" w:cs="仿宋"/>
                <w:color w:val="auto"/>
                <w:sz w:val="24"/>
              </w:rPr>
              <w:t>提供核心产品为相同品牌的不同供应商参加本项目报价的，</w:t>
            </w:r>
            <w:r>
              <w:rPr>
                <w:rFonts w:hint="eastAsia" w:ascii="宋体" w:hAnsi="宋体" w:cs="仿宋"/>
                <w:color w:val="auto"/>
                <w:sz w:val="24"/>
                <w:szCs w:val="22"/>
              </w:rPr>
              <w:t>以其中通过资格审查、符合性审查且报价最低的参加评审，其他报价无效。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0"/>
              <w:spacing w:line="360" w:lineRule="auto"/>
              <w:ind w:left="9"/>
              <w:jc w:val="center"/>
              <w:rPr>
                <w:rFonts w:cs="仿宋"/>
                <w:color w:val="auto"/>
                <w:lang w:val="zh-CN"/>
              </w:rPr>
            </w:pPr>
            <w:r>
              <w:rPr>
                <w:rFonts w:cs="仿宋"/>
                <w:color w:val="auto"/>
              </w:rPr>
              <w:t>11</w:t>
            </w:r>
          </w:p>
        </w:tc>
        <w:tc>
          <w:tcPr>
            <w:tcW w:w="2360" w:type="dxa"/>
            <w:vAlign w:val="center"/>
          </w:tcPr>
          <w:p>
            <w:pPr>
              <w:spacing w:line="360" w:lineRule="auto"/>
              <w:rPr>
                <w:rFonts w:ascii="宋体" w:hAnsi="宋体" w:cs="仿宋"/>
                <w:color w:val="auto"/>
                <w:sz w:val="24"/>
                <w:szCs w:val="24"/>
              </w:rPr>
            </w:pPr>
            <w:r>
              <w:rPr>
                <w:rFonts w:hint="eastAsia" w:ascii="宋体" w:hAnsi="宋体" w:cs="仿宋"/>
                <w:color w:val="auto"/>
                <w:sz w:val="24"/>
                <w:szCs w:val="24"/>
                <w:lang w:val="zh-CN"/>
              </w:rPr>
              <w:t>本项目要求供应商</w:t>
            </w:r>
            <w:r>
              <w:rPr>
                <w:rFonts w:hint="eastAsia" w:ascii="宋体" w:hAnsi="宋体" w:cs="仿宋"/>
                <w:color w:val="auto"/>
                <w:kern w:val="0"/>
                <w:sz w:val="24"/>
                <w:szCs w:val="24"/>
                <w:lang w:val="zh-CN"/>
              </w:rPr>
              <w:t>提供的技术说明</w:t>
            </w:r>
            <w:r>
              <w:rPr>
                <w:rFonts w:hint="eastAsia" w:ascii="宋体" w:hAnsi="宋体" w:cs="仿宋"/>
                <w:color w:val="auto"/>
                <w:sz w:val="24"/>
                <w:szCs w:val="24"/>
                <w:lang w:val="zh-CN"/>
              </w:rPr>
              <w:t>文件</w:t>
            </w:r>
          </w:p>
        </w:tc>
        <w:tc>
          <w:tcPr>
            <w:tcW w:w="5954" w:type="dxa"/>
            <w:vAlign w:val="center"/>
          </w:tcPr>
          <w:p>
            <w:pPr>
              <w:spacing w:line="360" w:lineRule="auto"/>
              <w:jc w:val="left"/>
              <w:rPr>
                <w:rFonts w:ascii="宋体" w:hAnsi="宋体" w:cs="仿宋"/>
                <w:color w:val="auto"/>
                <w:kern w:val="0"/>
                <w:sz w:val="24"/>
                <w:szCs w:val="24"/>
                <w:lang w:val="zh-CN"/>
              </w:rPr>
            </w:pPr>
            <w:r>
              <w:rPr>
                <w:rFonts w:hint="eastAsia" w:ascii="宋体" w:hAnsi="宋体" w:cs="仿宋"/>
                <w:color w:val="auto"/>
                <w:kern w:val="0"/>
                <w:sz w:val="24"/>
                <w:szCs w:val="24"/>
              </w:rPr>
              <w:t>1、</w:t>
            </w:r>
            <w:r>
              <w:rPr>
                <w:rFonts w:hint="eastAsia" w:ascii="宋体" w:hAnsi="宋体" w:cs="仿宋"/>
                <w:color w:val="auto"/>
                <w:kern w:val="0"/>
                <w:sz w:val="24"/>
                <w:szCs w:val="24"/>
                <w:lang w:val="zh-CN"/>
              </w:rPr>
              <w:t>开标一览表；</w:t>
            </w:r>
          </w:p>
          <w:p>
            <w:pPr>
              <w:spacing w:line="360" w:lineRule="auto"/>
              <w:jc w:val="left"/>
              <w:rPr>
                <w:rFonts w:ascii="宋体" w:hAnsi="宋体" w:cs="仿宋"/>
                <w:color w:val="auto"/>
                <w:kern w:val="0"/>
                <w:sz w:val="24"/>
                <w:szCs w:val="24"/>
                <w:lang w:val="zh-CN"/>
              </w:rPr>
            </w:pPr>
            <w:r>
              <w:rPr>
                <w:rFonts w:hint="eastAsia" w:ascii="宋体" w:hAnsi="宋体" w:cs="仿宋"/>
                <w:color w:val="auto"/>
                <w:sz w:val="24"/>
                <w:szCs w:val="24"/>
              </w:rPr>
              <w:t>2、</w:t>
            </w:r>
            <w:r>
              <w:rPr>
                <w:rFonts w:hint="eastAsia" w:ascii="宋体" w:hAnsi="宋体" w:cs="仿宋"/>
                <w:color w:val="auto"/>
                <w:sz w:val="24"/>
                <w:szCs w:val="24"/>
                <w:lang w:val="zh-CN"/>
              </w:rPr>
              <w:t>报价明细表；</w:t>
            </w:r>
          </w:p>
          <w:p>
            <w:pPr>
              <w:spacing w:line="360" w:lineRule="auto"/>
              <w:jc w:val="left"/>
              <w:rPr>
                <w:rFonts w:ascii="宋体" w:hAnsi="宋体" w:cs="仿宋"/>
                <w:color w:val="auto"/>
                <w:kern w:val="0"/>
                <w:sz w:val="24"/>
                <w:szCs w:val="24"/>
                <w:lang w:val="zh-CN"/>
              </w:rPr>
            </w:pPr>
            <w:r>
              <w:rPr>
                <w:rFonts w:hint="eastAsia" w:ascii="宋体" w:hAnsi="宋体" w:cs="仿宋"/>
                <w:color w:val="auto"/>
                <w:sz w:val="24"/>
                <w:szCs w:val="24"/>
              </w:rPr>
              <w:t>3、用户需求响应表；</w:t>
            </w:r>
          </w:p>
          <w:p>
            <w:pPr>
              <w:spacing w:line="360" w:lineRule="auto"/>
              <w:rPr>
                <w:rFonts w:ascii="宋体" w:hAnsi="宋体" w:cs="仿宋"/>
                <w:color w:val="auto"/>
                <w:sz w:val="24"/>
                <w:szCs w:val="24"/>
              </w:rPr>
            </w:pPr>
            <w:r>
              <w:rPr>
                <w:rFonts w:hint="eastAsia" w:ascii="宋体" w:hAnsi="宋体" w:cs="仿宋"/>
                <w:color w:val="auto"/>
                <w:sz w:val="24"/>
                <w:szCs w:val="24"/>
              </w:rPr>
              <w:t>4、</w:t>
            </w:r>
            <w:r>
              <w:rPr>
                <w:rFonts w:hint="eastAsia" w:ascii="宋体" w:hAnsi="宋体" w:cs="仿宋"/>
                <w:color w:val="auto"/>
                <w:kern w:val="0"/>
                <w:sz w:val="24"/>
                <w:szCs w:val="24"/>
              </w:rPr>
              <w:t>其他技术证明材料（如有）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0" w:hRule="atLeast"/>
        </w:trPr>
        <w:tc>
          <w:tcPr>
            <w:tcW w:w="663" w:type="dxa"/>
            <w:vAlign w:val="center"/>
          </w:tcPr>
          <w:p>
            <w:pPr>
              <w:pStyle w:val="90"/>
              <w:spacing w:line="360" w:lineRule="auto"/>
              <w:ind w:left="9"/>
              <w:jc w:val="center"/>
              <w:rPr>
                <w:rFonts w:cs="仿宋"/>
                <w:color w:val="auto"/>
              </w:rPr>
            </w:pPr>
            <w:r>
              <w:rPr>
                <w:rFonts w:cs="仿宋"/>
                <w:color w:val="auto"/>
              </w:rPr>
              <w:t>12</w:t>
            </w:r>
          </w:p>
        </w:tc>
        <w:tc>
          <w:tcPr>
            <w:tcW w:w="2360" w:type="dxa"/>
            <w:vAlign w:val="center"/>
          </w:tcPr>
          <w:p>
            <w:pPr>
              <w:spacing w:line="360" w:lineRule="auto"/>
              <w:rPr>
                <w:rFonts w:ascii="宋体" w:hAnsi="宋体" w:cs="仿宋"/>
                <w:color w:val="auto"/>
                <w:sz w:val="24"/>
                <w:szCs w:val="24"/>
                <w:lang w:val="zh-CN"/>
              </w:rPr>
            </w:pPr>
            <w:r>
              <w:rPr>
                <w:rFonts w:hint="eastAsia" w:ascii="宋体" w:hAnsi="宋体" w:cs="仿宋"/>
                <w:color w:val="auto"/>
                <w:sz w:val="24"/>
                <w:szCs w:val="24"/>
                <w:lang w:val="zh-CN"/>
              </w:rPr>
              <w:t>开标一览表</w:t>
            </w:r>
          </w:p>
        </w:tc>
        <w:tc>
          <w:tcPr>
            <w:tcW w:w="5954" w:type="dxa"/>
            <w:vAlign w:val="center"/>
          </w:tcPr>
          <w:p>
            <w:pPr>
              <w:pStyle w:val="90"/>
              <w:spacing w:line="360" w:lineRule="auto"/>
              <w:rPr>
                <w:rFonts w:cs="仿宋"/>
                <w:color w:val="auto"/>
                <w:kern w:val="2"/>
                <w:lang w:val="zh-CN"/>
              </w:rPr>
            </w:pPr>
            <w:r>
              <w:rPr>
                <w:rFonts w:hint="eastAsia" w:cs="仿宋"/>
                <w:color w:val="auto"/>
                <w:kern w:val="2"/>
                <w:lang w:val="zh-CN"/>
              </w:rPr>
              <w:t>要求：</w:t>
            </w:r>
          </w:p>
          <w:p>
            <w:pPr>
              <w:pStyle w:val="90"/>
              <w:spacing w:line="360" w:lineRule="auto"/>
              <w:rPr>
                <w:rFonts w:cs="仿宋"/>
                <w:color w:val="auto"/>
                <w:kern w:val="2"/>
                <w:lang w:val="zh-CN"/>
              </w:rPr>
            </w:pPr>
            <w:r>
              <w:rPr>
                <w:rFonts w:hint="eastAsia" w:cs="仿宋"/>
                <w:color w:val="auto"/>
                <w:kern w:val="2"/>
                <w:lang w:val="zh-CN"/>
              </w:rPr>
              <w:t>① “开标一览表”当中的响应总价必须与“响应报价明细表”当中的“总价”保持一致；</w:t>
            </w:r>
          </w:p>
          <w:p>
            <w:pPr>
              <w:spacing w:line="360" w:lineRule="auto"/>
              <w:rPr>
                <w:rFonts w:ascii="宋体" w:hAnsi="宋体" w:cs="仿宋"/>
                <w:color w:val="auto"/>
                <w:sz w:val="24"/>
                <w:szCs w:val="24"/>
              </w:rPr>
            </w:pPr>
            <w:r>
              <w:rPr>
                <w:rFonts w:hint="eastAsia" w:ascii="宋体" w:hAnsi="宋体" w:cs="仿宋"/>
                <w:color w:val="auto"/>
                <w:sz w:val="24"/>
                <w:szCs w:val="24"/>
                <w:lang w:val="zh-CN"/>
              </w:rPr>
              <w:t>②“开标一览表”的格式不得自行增减内容，否则自行承担响应报价无效的风险；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663" w:type="dxa"/>
            <w:vAlign w:val="center"/>
          </w:tcPr>
          <w:p>
            <w:pPr>
              <w:pStyle w:val="90"/>
              <w:spacing w:line="360" w:lineRule="auto"/>
              <w:ind w:left="9"/>
              <w:jc w:val="center"/>
              <w:rPr>
                <w:rFonts w:cs="仿宋"/>
                <w:color w:val="auto"/>
                <w:lang w:val="zh-CN"/>
              </w:rPr>
            </w:pPr>
            <w:r>
              <w:rPr>
                <w:rFonts w:cs="仿宋"/>
                <w:color w:val="auto"/>
              </w:rPr>
              <w:t>13</w:t>
            </w:r>
          </w:p>
        </w:tc>
        <w:tc>
          <w:tcPr>
            <w:tcW w:w="2360" w:type="dxa"/>
            <w:vAlign w:val="center"/>
          </w:tcPr>
          <w:p>
            <w:pPr>
              <w:pStyle w:val="90"/>
              <w:spacing w:line="360" w:lineRule="auto"/>
              <w:rPr>
                <w:rFonts w:cs="仿宋"/>
                <w:color w:val="auto"/>
                <w:lang w:val="zh-CN"/>
              </w:rPr>
            </w:pPr>
            <w:r>
              <w:rPr>
                <w:rFonts w:hint="eastAsia" w:cs="仿宋"/>
                <w:color w:val="auto"/>
                <w:lang w:val="zh-CN"/>
              </w:rPr>
              <w:t>响应有效期</w:t>
            </w:r>
          </w:p>
        </w:tc>
        <w:tc>
          <w:tcPr>
            <w:tcW w:w="5954" w:type="dxa"/>
            <w:vAlign w:val="center"/>
          </w:tcPr>
          <w:p>
            <w:pPr>
              <w:pStyle w:val="90"/>
              <w:spacing w:line="360" w:lineRule="auto"/>
              <w:ind w:firstLine="240" w:firstLineChars="100"/>
              <w:rPr>
                <w:rFonts w:cs="仿宋"/>
                <w:color w:val="auto"/>
                <w:lang w:val="zh-CN"/>
              </w:rPr>
            </w:pPr>
            <w:r>
              <w:rPr>
                <w:rFonts w:hint="eastAsia" w:cs="仿宋"/>
                <w:color w:val="auto"/>
                <w:u w:val="single"/>
              </w:rPr>
              <w:t xml:space="preserve">60 </w:t>
            </w:r>
            <w:r>
              <w:rPr>
                <w:rFonts w:hint="eastAsia" w:cs="仿宋"/>
                <w:color w:val="auto"/>
              </w:rPr>
              <w:t>天（响应有效期从提交响应文件的截止之日起算。有效期短于该规定期限的响应无效）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8" w:hRule="atLeast"/>
        </w:trPr>
        <w:tc>
          <w:tcPr>
            <w:tcW w:w="663" w:type="dxa"/>
            <w:vAlign w:val="center"/>
          </w:tcPr>
          <w:p>
            <w:pPr>
              <w:pStyle w:val="90"/>
              <w:spacing w:line="360" w:lineRule="auto"/>
              <w:ind w:left="9"/>
              <w:jc w:val="center"/>
              <w:rPr>
                <w:rFonts w:cs="仿宋"/>
                <w:color w:val="auto"/>
                <w:lang w:val="zh-CN"/>
              </w:rPr>
            </w:pPr>
            <w:r>
              <w:rPr>
                <w:rFonts w:cs="仿宋"/>
                <w:color w:val="auto"/>
              </w:rPr>
              <w:t>14</w:t>
            </w:r>
          </w:p>
        </w:tc>
        <w:tc>
          <w:tcPr>
            <w:tcW w:w="2360" w:type="dxa"/>
            <w:vAlign w:val="center"/>
          </w:tcPr>
          <w:p>
            <w:pPr>
              <w:pStyle w:val="90"/>
              <w:spacing w:line="360" w:lineRule="auto"/>
              <w:rPr>
                <w:rFonts w:cs="仿宋"/>
                <w:color w:val="auto"/>
              </w:rPr>
            </w:pPr>
            <w:r>
              <w:rPr>
                <w:rFonts w:hint="eastAsia" w:cs="仿宋"/>
                <w:color w:val="auto"/>
              </w:rPr>
              <w:t>谈判保证金金额</w:t>
            </w:r>
          </w:p>
        </w:tc>
        <w:tc>
          <w:tcPr>
            <w:tcW w:w="5954" w:type="dxa"/>
            <w:vAlign w:val="center"/>
          </w:tcPr>
          <w:p>
            <w:pPr>
              <w:pStyle w:val="11"/>
              <w:spacing w:line="360" w:lineRule="auto"/>
              <w:rPr>
                <w:rFonts w:ascii="宋体" w:hAnsi="宋体" w:cs="仿宋_GB2312"/>
                <w:color w:val="auto"/>
                <w:sz w:val="24"/>
                <w:lang w:val="zh-CN"/>
              </w:rPr>
            </w:pPr>
            <w:r>
              <w:rPr>
                <w:rFonts w:hint="eastAsia" w:ascii="宋体" w:hAnsi="宋体" w:cs="仿宋_GB2312"/>
                <w:color w:val="auto"/>
                <w:sz w:val="24"/>
                <w:lang w:val="zh-CN"/>
              </w:rPr>
              <w:t>金额（大小写）：</w:t>
            </w:r>
            <w:r>
              <w:rPr>
                <w:rFonts w:hint="eastAsia" w:ascii="宋体" w:hAnsi="宋体" w:cs="仿宋_GB2312"/>
                <w:color w:val="auto"/>
                <w:sz w:val="24"/>
                <w:lang w:val="en-US" w:eastAsia="zh-CN"/>
              </w:rPr>
              <w:t>伍仟元整</w:t>
            </w:r>
            <w:r>
              <w:rPr>
                <w:rFonts w:hint="eastAsia" w:ascii="宋体" w:hAnsi="宋体" w:cs="仿宋_GB2312"/>
                <w:color w:val="auto"/>
                <w:sz w:val="24"/>
                <w:lang w:val="zh-CN"/>
              </w:rPr>
              <w:t>（</w:t>
            </w:r>
            <w:r>
              <w:rPr>
                <w:rFonts w:hint="eastAsia" w:ascii="宋体" w:hAnsi="宋体"/>
                <w:color w:val="auto"/>
                <w:kern w:val="28"/>
                <w:sz w:val="24"/>
                <w:lang w:val="en-US" w:eastAsia="zh-CN"/>
              </w:rPr>
              <w:t>5000.00</w:t>
            </w:r>
            <w:r>
              <w:rPr>
                <w:rFonts w:hint="eastAsia" w:ascii="宋体" w:hAnsi="宋体" w:cs="仿宋_GB2312"/>
                <w:color w:val="auto"/>
                <w:sz w:val="24"/>
                <w:lang w:val="zh-CN"/>
              </w:rPr>
              <w:t>元）</w:t>
            </w:r>
          </w:p>
          <w:p>
            <w:pPr>
              <w:pStyle w:val="90"/>
              <w:spacing w:line="360" w:lineRule="auto"/>
              <w:rPr>
                <w:rFonts w:cs="仿宋_GB2312"/>
                <w:color w:val="auto"/>
                <w:kern w:val="2"/>
                <w:lang w:val="zh-CN"/>
              </w:rPr>
            </w:pPr>
            <w:r>
              <w:rPr>
                <w:rFonts w:hint="eastAsia" w:cs="仿宋_GB2312"/>
                <w:color w:val="auto"/>
                <w:kern w:val="2"/>
                <w:lang w:val="zh-CN"/>
              </w:rPr>
              <w:t>交纳谈判保证金截止时间：2023年</w:t>
            </w:r>
            <w:r>
              <w:rPr>
                <w:rFonts w:hint="eastAsia" w:cs="仿宋_GB2312"/>
                <w:color w:val="auto"/>
                <w:kern w:val="2"/>
                <w:lang w:val="en-US" w:eastAsia="zh-CN"/>
              </w:rPr>
              <w:t>08</w:t>
            </w:r>
            <w:r>
              <w:rPr>
                <w:rFonts w:hint="eastAsia" w:cs="仿宋_GB2312"/>
                <w:color w:val="auto"/>
                <w:kern w:val="2"/>
                <w:lang w:val="zh-CN"/>
              </w:rPr>
              <w:t>月</w:t>
            </w:r>
            <w:r>
              <w:rPr>
                <w:rFonts w:hint="eastAsia" w:cs="仿宋_GB2312"/>
                <w:color w:val="auto"/>
                <w:kern w:val="2"/>
                <w:lang w:val="en-US" w:eastAsia="zh-CN"/>
              </w:rPr>
              <w:t>18日10:00</w:t>
            </w:r>
            <w:r>
              <w:rPr>
                <w:rFonts w:hint="eastAsia" w:cs="仿宋_GB2312"/>
                <w:color w:val="auto"/>
                <w:kern w:val="2"/>
                <w:lang w:val="zh-CN"/>
              </w:rPr>
              <w:t>（北京时间）</w:t>
            </w:r>
          </w:p>
          <w:p>
            <w:pPr>
              <w:spacing w:line="360" w:lineRule="auto"/>
              <w:rPr>
                <w:rFonts w:ascii="宋体" w:hAnsi="宋体" w:cs="仿宋_GB2312"/>
                <w:color w:val="auto"/>
                <w:sz w:val="24"/>
                <w:lang w:val="zh-CN"/>
              </w:rPr>
            </w:pPr>
            <w:r>
              <w:rPr>
                <w:rFonts w:hint="eastAsia" w:ascii="宋体" w:hAnsi="宋体" w:cs="仿宋_GB2312"/>
                <w:color w:val="auto"/>
                <w:sz w:val="24"/>
                <w:lang w:val="zh-CN"/>
              </w:rPr>
              <w:t>账户名称：海南众采招标代理有限公司</w:t>
            </w:r>
          </w:p>
          <w:p>
            <w:pPr>
              <w:spacing w:line="360" w:lineRule="auto"/>
              <w:rPr>
                <w:rFonts w:hint="eastAsia" w:ascii="宋体" w:hAnsi="宋体" w:eastAsia="宋体" w:cs="Arial"/>
                <w:color w:val="auto"/>
                <w:sz w:val="24"/>
                <w:szCs w:val="24"/>
                <w:lang w:eastAsia="zh-CN"/>
              </w:rPr>
            </w:pPr>
            <w:r>
              <w:rPr>
                <w:rFonts w:hint="eastAsia" w:ascii="宋体" w:hAnsi="宋体" w:cs="Arial"/>
                <w:color w:val="auto"/>
                <w:sz w:val="24"/>
                <w:szCs w:val="24"/>
              </w:rPr>
              <w:t>开户行：</w:t>
            </w:r>
            <w:r>
              <w:rPr>
                <w:rFonts w:hint="eastAsia" w:ascii="宋体" w:hAnsi="宋体" w:cs="Arial"/>
                <w:color w:val="auto"/>
                <w:sz w:val="24"/>
                <w:szCs w:val="24"/>
                <w:lang w:eastAsia="zh-CN"/>
              </w:rPr>
              <w:t>中国建设银行股份有限公司海口金盘支行</w:t>
            </w:r>
          </w:p>
          <w:p>
            <w:pPr>
              <w:spacing w:line="360" w:lineRule="auto"/>
              <w:rPr>
                <w:rFonts w:hint="eastAsia" w:eastAsia="宋体" w:cs="仿宋"/>
                <w:color w:val="auto"/>
                <w:lang w:eastAsia="zh-CN"/>
              </w:rPr>
            </w:pPr>
            <w:r>
              <w:rPr>
                <w:rFonts w:hint="eastAsia" w:ascii="宋体" w:hAnsi="宋体" w:cs="Arial"/>
                <w:color w:val="auto"/>
                <w:sz w:val="24"/>
                <w:szCs w:val="24"/>
              </w:rPr>
              <w:t>账  户：</w:t>
            </w:r>
            <w:r>
              <w:rPr>
                <w:rFonts w:hint="eastAsia" w:ascii="宋体" w:hAnsi="宋体" w:cs="Arial"/>
                <w:color w:val="auto"/>
                <w:sz w:val="24"/>
                <w:szCs w:val="24"/>
                <w:lang w:eastAsia="zh-CN"/>
              </w:rPr>
              <w:t>4605 0100 2336 0000 2521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rPr>
        <w:tc>
          <w:tcPr>
            <w:tcW w:w="663" w:type="dxa"/>
            <w:vAlign w:val="center"/>
          </w:tcPr>
          <w:p>
            <w:pPr>
              <w:pStyle w:val="90"/>
              <w:spacing w:line="360" w:lineRule="auto"/>
              <w:ind w:left="9"/>
              <w:jc w:val="center"/>
              <w:rPr>
                <w:rFonts w:cs="仿宋"/>
                <w:color w:val="auto"/>
                <w:lang w:val="zh-CN"/>
              </w:rPr>
            </w:pPr>
            <w:r>
              <w:rPr>
                <w:rFonts w:cs="仿宋"/>
                <w:color w:val="auto"/>
              </w:rPr>
              <w:t>15</w:t>
            </w:r>
          </w:p>
        </w:tc>
        <w:tc>
          <w:tcPr>
            <w:tcW w:w="2360" w:type="dxa"/>
            <w:vAlign w:val="center"/>
          </w:tcPr>
          <w:p>
            <w:pPr>
              <w:pStyle w:val="90"/>
              <w:spacing w:line="360" w:lineRule="auto"/>
              <w:ind w:left="33"/>
              <w:jc w:val="both"/>
              <w:rPr>
                <w:rFonts w:cs="仿宋"/>
                <w:color w:val="auto"/>
                <w:lang w:val="zh-CN"/>
              </w:rPr>
            </w:pPr>
            <w:r>
              <w:rPr>
                <w:rFonts w:hint="eastAsia" w:cs="仿宋"/>
                <w:color w:val="auto"/>
                <w:lang w:val="zh-CN"/>
              </w:rPr>
              <w:t>响应文件份数</w:t>
            </w:r>
          </w:p>
        </w:tc>
        <w:tc>
          <w:tcPr>
            <w:tcW w:w="5954" w:type="dxa"/>
            <w:vAlign w:val="center"/>
          </w:tcPr>
          <w:p>
            <w:pPr>
              <w:pStyle w:val="90"/>
              <w:spacing w:line="360" w:lineRule="auto"/>
              <w:rPr>
                <w:rFonts w:hint="eastAsia" w:eastAsia="宋体" w:cs="仿宋"/>
                <w:color w:val="auto"/>
                <w:lang w:val="zh-CN" w:eastAsia="zh-CN"/>
              </w:rPr>
            </w:pPr>
            <w:r>
              <w:rPr>
                <w:rFonts w:hint="eastAsia" w:cs="仿宋"/>
                <w:color w:val="auto"/>
                <w:lang w:val="zh-CN"/>
              </w:rPr>
              <w:t>正本一份；副本两份；电子版光碟或</w:t>
            </w:r>
            <w:r>
              <w:rPr>
                <w:rFonts w:hint="eastAsia" w:cs="仿宋"/>
                <w:color w:val="auto"/>
              </w:rPr>
              <w:t>U盘（含PDF版投标文件</w:t>
            </w:r>
            <w:r>
              <w:rPr>
                <w:rFonts w:hint="eastAsia" w:cs="仿宋"/>
                <w:color w:val="auto"/>
                <w:lang w:eastAsia="zh-CN"/>
              </w:rPr>
              <w:t>和</w:t>
            </w:r>
            <w:r>
              <w:rPr>
                <w:rFonts w:hint="eastAsia" w:cs="仿宋"/>
                <w:color w:val="auto"/>
                <w:lang w:val="en-US" w:eastAsia="zh-CN"/>
              </w:rPr>
              <w:t>Word文档的报价明细表</w:t>
            </w:r>
            <w:r>
              <w:rPr>
                <w:rFonts w:hint="eastAsia" w:cs="仿宋"/>
                <w:color w:val="auto"/>
              </w:rPr>
              <w:t>）</w:t>
            </w:r>
            <w:r>
              <w:rPr>
                <w:rFonts w:hint="eastAsia" w:cs="仿宋"/>
                <w:color w:val="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663" w:type="dxa"/>
            <w:vAlign w:val="center"/>
          </w:tcPr>
          <w:p>
            <w:pPr>
              <w:pStyle w:val="8"/>
              <w:spacing w:line="360" w:lineRule="auto"/>
              <w:ind w:left="9" w:firstLine="0"/>
              <w:jc w:val="center"/>
              <w:rPr>
                <w:rFonts w:ascii="宋体" w:hAnsi="宋体" w:cs="仿宋"/>
                <w:color w:val="auto"/>
                <w:sz w:val="24"/>
                <w:szCs w:val="24"/>
                <w:lang w:val="zh-CN"/>
              </w:rPr>
            </w:pPr>
            <w:r>
              <w:rPr>
                <w:rFonts w:ascii="宋体" w:hAnsi="宋体" w:cs="仿宋"/>
                <w:color w:val="auto"/>
                <w:sz w:val="24"/>
                <w:szCs w:val="24"/>
              </w:rPr>
              <w:t>16</w:t>
            </w:r>
          </w:p>
        </w:tc>
        <w:tc>
          <w:tcPr>
            <w:tcW w:w="2360" w:type="dxa"/>
            <w:vAlign w:val="center"/>
          </w:tcPr>
          <w:p>
            <w:pPr>
              <w:spacing w:line="360" w:lineRule="auto"/>
              <w:rPr>
                <w:rFonts w:ascii="宋体" w:hAnsi="宋体" w:cs="仿宋"/>
                <w:color w:val="auto"/>
                <w:sz w:val="24"/>
                <w:szCs w:val="24"/>
              </w:rPr>
            </w:pPr>
            <w:r>
              <w:rPr>
                <w:rFonts w:hint="eastAsia" w:ascii="宋体" w:hAnsi="宋体" w:cs="仿宋"/>
                <w:color w:val="auto"/>
                <w:sz w:val="24"/>
                <w:szCs w:val="24"/>
              </w:rPr>
              <w:t>响应文件正面封套标明</w:t>
            </w:r>
          </w:p>
        </w:tc>
        <w:tc>
          <w:tcPr>
            <w:tcW w:w="5954" w:type="dxa"/>
            <w:vAlign w:val="center"/>
          </w:tcPr>
          <w:p>
            <w:pPr>
              <w:spacing w:line="360" w:lineRule="auto"/>
              <w:jc w:val="left"/>
              <w:rPr>
                <w:rFonts w:ascii="宋体" w:hAnsi="宋体" w:cs="仿宋"/>
                <w:color w:val="auto"/>
                <w:sz w:val="24"/>
                <w:szCs w:val="24"/>
              </w:rPr>
            </w:pPr>
            <w:r>
              <w:rPr>
                <w:rFonts w:hint="eastAsia" w:ascii="宋体" w:hAnsi="宋体" w:cs="仿宋"/>
                <w:color w:val="auto"/>
                <w:sz w:val="24"/>
                <w:szCs w:val="24"/>
              </w:rPr>
              <w:t>响应文件：正本/副本/</w:t>
            </w:r>
            <w:r>
              <w:rPr>
                <w:rFonts w:hint="eastAsia" w:ascii="宋体" w:hAnsi="宋体" w:cs="仿宋"/>
                <w:color w:val="auto"/>
                <w:kern w:val="0"/>
                <w:sz w:val="24"/>
                <w:szCs w:val="24"/>
                <w:lang w:val="zh-CN"/>
              </w:rPr>
              <w:t>开标一览表</w:t>
            </w:r>
            <w:r>
              <w:rPr>
                <w:rFonts w:hint="eastAsia" w:ascii="宋体" w:hAnsi="宋体" w:cs="仿宋"/>
                <w:color w:val="auto"/>
                <w:sz w:val="24"/>
                <w:szCs w:val="24"/>
              </w:rPr>
              <w:t>/电子版响应文件</w:t>
            </w:r>
          </w:p>
          <w:p>
            <w:pPr>
              <w:spacing w:line="360" w:lineRule="auto"/>
              <w:jc w:val="left"/>
              <w:rPr>
                <w:rFonts w:ascii="宋体" w:hAnsi="宋体" w:cs="仿宋"/>
                <w:color w:val="auto"/>
                <w:sz w:val="24"/>
                <w:szCs w:val="24"/>
                <w:u w:val="single"/>
              </w:rPr>
            </w:pPr>
            <w:r>
              <w:rPr>
                <w:rFonts w:hint="eastAsia" w:ascii="宋体" w:hAnsi="宋体" w:cs="仿宋"/>
                <w:color w:val="auto"/>
                <w:sz w:val="24"/>
                <w:szCs w:val="24"/>
              </w:rPr>
              <w:t>项目名称:</w:t>
            </w:r>
          </w:p>
          <w:p>
            <w:pPr>
              <w:spacing w:line="360" w:lineRule="auto"/>
              <w:jc w:val="left"/>
              <w:rPr>
                <w:rFonts w:ascii="宋体" w:hAnsi="宋体" w:cs="仿宋"/>
                <w:color w:val="auto"/>
                <w:sz w:val="24"/>
                <w:szCs w:val="24"/>
              </w:rPr>
            </w:pPr>
            <w:r>
              <w:rPr>
                <w:rFonts w:hint="eastAsia" w:ascii="宋体" w:hAnsi="宋体" w:cs="仿宋"/>
                <w:color w:val="auto"/>
                <w:sz w:val="24"/>
                <w:szCs w:val="24"/>
              </w:rPr>
              <w:t>项目编号：</w:t>
            </w:r>
          </w:p>
          <w:p>
            <w:pPr>
              <w:spacing w:line="360" w:lineRule="auto"/>
              <w:jc w:val="left"/>
              <w:rPr>
                <w:rFonts w:ascii="宋体" w:hAnsi="宋体" w:cs="仿宋"/>
                <w:color w:val="auto"/>
                <w:sz w:val="24"/>
                <w:szCs w:val="24"/>
              </w:rPr>
            </w:pPr>
            <w:r>
              <w:rPr>
                <w:rFonts w:hint="eastAsia" w:ascii="宋体" w:hAnsi="宋体" w:cs="仿宋"/>
                <w:color w:val="auto"/>
                <w:sz w:val="24"/>
                <w:szCs w:val="24"/>
              </w:rPr>
              <w:t>供应商的名称（加盖公章）：</w:t>
            </w:r>
          </w:p>
          <w:p>
            <w:pPr>
              <w:spacing w:line="360" w:lineRule="auto"/>
              <w:jc w:val="left"/>
              <w:rPr>
                <w:rFonts w:ascii="宋体" w:hAnsi="宋体" w:cs="仿宋"/>
                <w:color w:val="auto"/>
                <w:sz w:val="24"/>
                <w:szCs w:val="24"/>
              </w:rPr>
            </w:pPr>
            <w:r>
              <w:rPr>
                <w:rFonts w:hint="eastAsia" w:ascii="宋体" w:hAnsi="宋体" w:cs="仿宋"/>
                <w:color w:val="auto"/>
                <w:sz w:val="24"/>
                <w:szCs w:val="24"/>
              </w:rPr>
              <w:t>供应商联系人姓名、联系电话：</w:t>
            </w:r>
          </w:p>
          <w:p>
            <w:pPr>
              <w:spacing w:line="360" w:lineRule="auto"/>
              <w:jc w:val="left"/>
              <w:rPr>
                <w:rFonts w:ascii="宋体" w:hAnsi="宋体" w:cs="仿宋"/>
                <w:color w:val="auto"/>
                <w:sz w:val="24"/>
                <w:szCs w:val="24"/>
              </w:rPr>
            </w:pPr>
            <w:r>
              <w:rPr>
                <w:rFonts w:hint="eastAsia" w:ascii="宋体" w:hAnsi="宋体" w:cs="仿宋"/>
                <w:color w:val="auto"/>
                <w:sz w:val="24"/>
                <w:szCs w:val="24"/>
              </w:rPr>
              <w:t>在</w:t>
            </w:r>
            <w:r>
              <w:rPr>
                <w:rFonts w:hint="eastAsia" w:ascii="宋体" w:hAnsi="宋体" w:cs="仿宋"/>
                <w:color w:val="auto"/>
                <w:kern w:val="0"/>
                <w:sz w:val="24"/>
                <w:szCs w:val="24"/>
                <w:lang w:eastAsia="zh-CN"/>
              </w:rPr>
              <w:t>2023</w:t>
            </w:r>
            <w:r>
              <w:rPr>
                <w:rFonts w:hint="eastAsia" w:ascii="宋体" w:hAnsi="宋体" w:cs="仿宋"/>
                <w:color w:val="auto"/>
                <w:kern w:val="0"/>
                <w:sz w:val="24"/>
                <w:szCs w:val="24"/>
                <w:lang w:val="zh-CN"/>
              </w:rPr>
              <w:t>年</w:t>
            </w:r>
            <w:r>
              <w:rPr>
                <w:rFonts w:ascii="宋体" w:hAnsi="宋体" w:cs="仿宋"/>
                <w:color w:val="auto"/>
                <w:kern w:val="0"/>
                <w:sz w:val="24"/>
                <w:szCs w:val="24"/>
              </w:rPr>
              <w:t xml:space="preserve"> </w:t>
            </w:r>
            <w:r>
              <w:rPr>
                <w:rFonts w:hint="eastAsia" w:ascii="宋体" w:hAnsi="宋体" w:cs="仿宋"/>
                <w:color w:val="auto"/>
                <w:kern w:val="0"/>
                <w:sz w:val="24"/>
                <w:szCs w:val="24"/>
                <w:lang w:val="en-US" w:eastAsia="zh-CN"/>
              </w:rPr>
              <w:t xml:space="preserve">  </w:t>
            </w:r>
            <w:r>
              <w:rPr>
                <w:rFonts w:hint="eastAsia" w:ascii="宋体" w:hAnsi="宋体" w:cs="仿宋"/>
                <w:color w:val="auto"/>
                <w:kern w:val="0"/>
                <w:sz w:val="24"/>
                <w:szCs w:val="24"/>
                <w:lang w:val="zh-CN"/>
              </w:rPr>
              <w:t>月</w:t>
            </w:r>
            <w:r>
              <w:rPr>
                <w:rFonts w:ascii="宋体" w:hAnsi="宋体" w:cs="仿宋"/>
                <w:color w:val="auto"/>
                <w:kern w:val="0"/>
                <w:sz w:val="24"/>
                <w:szCs w:val="24"/>
              </w:rPr>
              <w:t xml:space="preserve"> </w:t>
            </w:r>
            <w:r>
              <w:rPr>
                <w:rFonts w:hint="eastAsia" w:ascii="宋体" w:hAnsi="宋体" w:cs="仿宋"/>
                <w:color w:val="auto"/>
                <w:kern w:val="0"/>
                <w:sz w:val="24"/>
                <w:szCs w:val="24"/>
                <w:lang w:val="en-US" w:eastAsia="zh-CN"/>
              </w:rPr>
              <w:t xml:space="preserve">  </w:t>
            </w:r>
            <w:r>
              <w:rPr>
                <w:rFonts w:hint="eastAsia" w:ascii="宋体" w:hAnsi="宋体" w:cs="仿宋"/>
                <w:color w:val="auto"/>
                <w:kern w:val="0"/>
                <w:sz w:val="24"/>
                <w:szCs w:val="24"/>
                <w:lang w:val="zh-CN"/>
              </w:rPr>
              <w:t>日</w:t>
            </w:r>
            <w:r>
              <w:rPr>
                <w:rFonts w:ascii="宋体" w:hAnsi="宋体" w:cs="仿宋"/>
                <w:color w:val="auto"/>
                <w:kern w:val="0"/>
                <w:sz w:val="24"/>
                <w:szCs w:val="24"/>
              </w:rPr>
              <w:t xml:space="preserve"> </w:t>
            </w:r>
            <w:r>
              <w:rPr>
                <w:rFonts w:hint="eastAsia" w:ascii="宋体" w:hAnsi="宋体" w:cs="仿宋"/>
                <w:color w:val="auto"/>
                <w:kern w:val="0"/>
                <w:sz w:val="24"/>
                <w:szCs w:val="24"/>
                <w:lang w:val="en-US" w:eastAsia="zh-CN"/>
              </w:rPr>
              <w:t xml:space="preserve">   </w:t>
            </w:r>
            <w:r>
              <w:rPr>
                <w:rFonts w:hint="eastAsia" w:ascii="宋体" w:hAnsi="宋体" w:cs="仿宋"/>
                <w:color w:val="auto"/>
                <w:kern w:val="0"/>
                <w:sz w:val="24"/>
                <w:szCs w:val="24"/>
                <w:lang w:val="zh-CN"/>
              </w:rPr>
              <w:t>时</w:t>
            </w:r>
            <w:r>
              <w:rPr>
                <w:rFonts w:hint="eastAsia" w:ascii="宋体" w:hAnsi="宋体" w:cs="仿宋"/>
                <w:color w:val="auto"/>
                <w:kern w:val="0"/>
                <w:sz w:val="24"/>
                <w:szCs w:val="24"/>
                <w:lang w:val="en-US" w:eastAsia="zh-CN"/>
              </w:rPr>
              <w:t xml:space="preserve">   </w:t>
            </w:r>
            <w:r>
              <w:rPr>
                <w:rFonts w:hint="eastAsia" w:ascii="宋体" w:hAnsi="宋体" w:cs="仿宋"/>
                <w:color w:val="auto"/>
                <w:kern w:val="0"/>
                <w:sz w:val="24"/>
                <w:szCs w:val="24"/>
                <w:lang w:val="zh-CN"/>
              </w:rPr>
              <w:t>分前</w:t>
            </w:r>
            <w:r>
              <w:rPr>
                <w:rFonts w:hint="eastAsia" w:ascii="宋体" w:hAnsi="宋体" w:cs="仿宋"/>
                <w:color w:val="auto"/>
                <w:sz w:val="24"/>
                <w:szCs w:val="24"/>
              </w:rPr>
              <w:t xml:space="preserve">（开标时间）不得开启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5" w:hRule="atLeast"/>
        </w:trPr>
        <w:tc>
          <w:tcPr>
            <w:tcW w:w="663" w:type="dxa"/>
            <w:vAlign w:val="center"/>
          </w:tcPr>
          <w:p>
            <w:pPr>
              <w:pStyle w:val="8"/>
              <w:spacing w:line="360" w:lineRule="auto"/>
              <w:ind w:left="9" w:firstLine="0"/>
              <w:jc w:val="center"/>
              <w:rPr>
                <w:rFonts w:ascii="宋体" w:hAnsi="宋体" w:cs="仿宋"/>
                <w:color w:val="auto"/>
                <w:sz w:val="24"/>
                <w:szCs w:val="24"/>
              </w:rPr>
            </w:pPr>
            <w:r>
              <w:rPr>
                <w:rFonts w:ascii="宋体" w:hAnsi="宋体" w:cs="仿宋"/>
                <w:color w:val="auto"/>
                <w:sz w:val="24"/>
                <w:szCs w:val="24"/>
              </w:rPr>
              <w:t>17</w:t>
            </w:r>
          </w:p>
        </w:tc>
        <w:tc>
          <w:tcPr>
            <w:tcW w:w="2360" w:type="dxa"/>
            <w:vAlign w:val="center"/>
          </w:tcPr>
          <w:p>
            <w:pPr>
              <w:spacing w:line="360" w:lineRule="auto"/>
              <w:rPr>
                <w:rFonts w:ascii="宋体" w:hAnsi="宋体" w:cs="仿宋"/>
                <w:color w:val="auto"/>
                <w:sz w:val="24"/>
                <w:szCs w:val="24"/>
              </w:rPr>
            </w:pPr>
            <w:r>
              <w:rPr>
                <w:rFonts w:hint="eastAsia" w:ascii="宋体" w:hAnsi="宋体" w:cs="仿宋"/>
                <w:color w:val="auto"/>
                <w:sz w:val="24"/>
                <w:szCs w:val="24"/>
              </w:rPr>
              <w:t>代理服务费</w:t>
            </w:r>
          </w:p>
        </w:tc>
        <w:tc>
          <w:tcPr>
            <w:tcW w:w="5954" w:type="dxa"/>
            <w:vAlign w:val="center"/>
          </w:tcPr>
          <w:p>
            <w:pPr>
              <w:spacing w:line="360" w:lineRule="auto"/>
              <w:ind w:firstLine="480" w:firstLineChars="200"/>
              <w:outlineLvl w:val="1"/>
              <w:rPr>
                <w:rFonts w:ascii="宋体" w:hAnsi="宋体" w:cs="仿宋"/>
                <w:color w:val="auto"/>
                <w:sz w:val="24"/>
                <w:szCs w:val="24"/>
              </w:rPr>
            </w:pPr>
            <w:bookmarkStart w:id="3" w:name="_Toc1660485"/>
            <w:r>
              <w:rPr>
                <w:rFonts w:hint="eastAsia" w:ascii="宋体" w:hAnsi="宋体" w:cs="仿宋"/>
                <w:color w:val="auto"/>
                <w:sz w:val="24"/>
                <w:szCs w:val="24"/>
              </w:rPr>
              <w:t>以成交金额作为计算基数,</w:t>
            </w:r>
            <w:r>
              <w:rPr>
                <w:rFonts w:hint="eastAsia" w:ascii="宋体" w:hAnsi="宋体"/>
                <w:color w:val="auto"/>
                <w:sz w:val="24"/>
                <w:szCs w:val="24"/>
              </w:rPr>
              <w:t>按琼价费管【2011】225号规定收取</w:t>
            </w:r>
            <w:r>
              <w:rPr>
                <w:rFonts w:hint="eastAsia" w:ascii="宋体" w:hAnsi="宋体" w:cs="仿宋"/>
                <w:color w:val="auto"/>
                <w:sz w:val="24"/>
                <w:szCs w:val="24"/>
              </w:rPr>
              <w:t>,由成交供应商在领取成交通知书前，向采购代理机构交纳代理服务费。</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9" w:hRule="atLeast"/>
        </w:trPr>
        <w:tc>
          <w:tcPr>
            <w:tcW w:w="663" w:type="dxa"/>
            <w:vAlign w:val="center"/>
          </w:tcPr>
          <w:p>
            <w:pPr>
              <w:pStyle w:val="8"/>
              <w:spacing w:line="360" w:lineRule="auto"/>
              <w:ind w:left="9" w:firstLine="0"/>
              <w:jc w:val="center"/>
              <w:rPr>
                <w:rFonts w:ascii="宋体" w:hAnsi="宋体" w:cs="仿宋"/>
                <w:color w:val="auto"/>
                <w:sz w:val="24"/>
                <w:szCs w:val="24"/>
              </w:rPr>
            </w:pPr>
            <w:r>
              <w:rPr>
                <w:rFonts w:hint="eastAsia" w:ascii="宋体" w:hAnsi="宋体" w:cs="仿宋"/>
                <w:color w:val="auto"/>
                <w:sz w:val="24"/>
                <w:szCs w:val="24"/>
              </w:rPr>
              <w:t>18</w:t>
            </w:r>
          </w:p>
        </w:tc>
        <w:tc>
          <w:tcPr>
            <w:tcW w:w="2360" w:type="dxa"/>
            <w:vAlign w:val="center"/>
          </w:tcPr>
          <w:p>
            <w:pPr>
              <w:spacing w:line="360" w:lineRule="auto"/>
              <w:rPr>
                <w:rFonts w:ascii="宋体" w:hAnsi="宋体" w:cs="仿宋"/>
                <w:color w:val="auto"/>
                <w:sz w:val="24"/>
                <w:szCs w:val="24"/>
              </w:rPr>
            </w:pPr>
            <w:r>
              <w:rPr>
                <w:rFonts w:hint="eastAsia" w:ascii="宋体" w:hAnsi="宋体" w:cs="仿宋"/>
                <w:color w:val="auto"/>
                <w:sz w:val="24"/>
                <w:szCs w:val="24"/>
              </w:rPr>
              <w:t>采购合同</w:t>
            </w:r>
          </w:p>
        </w:tc>
        <w:tc>
          <w:tcPr>
            <w:tcW w:w="5954" w:type="dxa"/>
            <w:vAlign w:val="center"/>
          </w:tcPr>
          <w:p>
            <w:pPr>
              <w:pStyle w:val="21"/>
              <w:spacing w:before="0" w:beforeAutospacing="0" w:after="0" w:afterAutospacing="0" w:line="360" w:lineRule="auto"/>
              <w:ind w:firstLine="480" w:firstLineChars="200"/>
              <w:rPr>
                <w:rFonts w:cs="仿宋"/>
                <w:color w:val="auto"/>
                <w:szCs w:val="24"/>
              </w:rPr>
            </w:pPr>
            <w:r>
              <w:rPr>
                <w:rFonts w:hint="eastAsia" w:cs="仿宋"/>
                <w:color w:val="auto"/>
                <w:kern w:val="2"/>
                <w:szCs w:val="24"/>
              </w:rPr>
              <w:t>中标供应商在领取到通知书后需在一个月内与采购人签订合同，并在签订合同后</w:t>
            </w:r>
            <w:r>
              <w:rPr>
                <w:rFonts w:cs="仿宋"/>
                <w:color w:val="auto"/>
                <w:kern w:val="2"/>
                <w:szCs w:val="24"/>
              </w:rPr>
              <w:t>2</w:t>
            </w:r>
            <w:r>
              <w:rPr>
                <w:rFonts w:hint="eastAsia" w:cs="仿宋"/>
                <w:color w:val="auto"/>
                <w:kern w:val="2"/>
                <w:szCs w:val="24"/>
              </w:rPr>
              <w:t>个工作日内将合同送回我司，我司将根据法律法规依法公告；法律依据：《中华人民共和国政府采购法实施条例》</w:t>
            </w:r>
            <w:r>
              <w:rPr>
                <w:rFonts w:hint="eastAsia" w:cs="仿宋"/>
                <w:b/>
                <w:bCs/>
                <w:color w:val="auto"/>
                <w:kern w:val="2"/>
                <w:szCs w:val="24"/>
              </w:rPr>
              <w:t>第五十</w:t>
            </w:r>
            <w:r>
              <w:rPr>
                <w:rFonts w:hint="eastAsia" w:cs="仿宋"/>
                <w:color w:val="auto"/>
                <w:kern w:val="2"/>
                <w:szCs w:val="24"/>
              </w:rPr>
              <w:t>条款“采购人应当自政府采购合同签订之日起</w:t>
            </w:r>
            <w:r>
              <w:rPr>
                <w:rFonts w:cs="仿宋"/>
                <w:color w:val="auto"/>
                <w:kern w:val="2"/>
                <w:szCs w:val="24"/>
              </w:rPr>
              <w:t>2</w:t>
            </w:r>
            <w:r>
              <w:rPr>
                <w:rFonts w:hint="eastAsia" w:cs="仿宋"/>
                <w:color w:val="auto"/>
                <w:kern w:val="2"/>
                <w:szCs w:val="24"/>
              </w:rPr>
              <w:t>个工作日内，将政府采购合同在省级以上人民政府财政部门指定的媒体上公告，但政府采购合同中涉及国家秘密、商业秘密的内容除外。”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9" w:hRule="atLeast"/>
        </w:trPr>
        <w:tc>
          <w:tcPr>
            <w:tcW w:w="663" w:type="dxa"/>
            <w:vAlign w:val="center"/>
          </w:tcPr>
          <w:p>
            <w:pPr>
              <w:pStyle w:val="8"/>
              <w:spacing w:line="360" w:lineRule="auto"/>
              <w:ind w:left="9" w:firstLine="0"/>
              <w:jc w:val="center"/>
              <w:rPr>
                <w:rFonts w:hint="default" w:ascii="宋体" w:hAnsi="宋体" w:eastAsia="宋体" w:cs="仿宋"/>
                <w:color w:val="auto"/>
                <w:sz w:val="24"/>
                <w:szCs w:val="24"/>
                <w:lang w:val="en-US" w:eastAsia="zh-CN"/>
              </w:rPr>
            </w:pPr>
            <w:bookmarkStart w:id="4" w:name="_Toc1660486"/>
            <w:r>
              <w:rPr>
                <w:rFonts w:hint="eastAsia" w:ascii="宋体" w:hAnsi="宋体" w:cs="仿宋"/>
                <w:color w:val="auto"/>
                <w:sz w:val="24"/>
                <w:szCs w:val="24"/>
                <w:lang w:val="en-US" w:eastAsia="zh-CN"/>
              </w:rPr>
              <w:t>19</w:t>
            </w:r>
          </w:p>
        </w:tc>
        <w:tc>
          <w:tcPr>
            <w:tcW w:w="2360" w:type="dxa"/>
            <w:vAlign w:val="center"/>
          </w:tcPr>
          <w:p>
            <w:pPr>
              <w:spacing w:line="360" w:lineRule="auto"/>
              <w:rPr>
                <w:rFonts w:hint="eastAsia" w:ascii="宋体" w:hAnsi="宋体" w:eastAsia="宋体" w:cs="仿宋"/>
                <w:color w:val="auto"/>
                <w:sz w:val="24"/>
                <w:szCs w:val="24"/>
                <w:lang w:eastAsia="zh-CN"/>
              </w:rPr>
            </w:pPr>
            <w:r>
              <w:rPr>
                <w:rFonts w:hint="eastAsia" w:ascii="宋体" w:hAnsi="宋体" w:cs="仿宋"/>
                <w:color w:val="auto"/>
                <w:sz w:val="24"/>
                <w:szCs w:val="24"/>
                <w:lang w:eastAsia="zh-CN"/>
              </w:rPr>
              <w:t>磋商小组的组成</w:t>
            </w:r>
          </w:p>
        </w:tc>
        <w:tc>
          <w:tcPr>
            <w:tcW w:w="5954" w:type="dxa"/>
            <w:vAlign w:val="center"/>
          </w:tcPr>
          <w:p>
            <w:pPr>
              <w:pStyle w:val="21"/>
              <w:spacing w:before="0" w:beforeAutospacing="0" w:after="0" w:afterAutospacing="0" w:line="360" w:lineRule="auto"/>
              <w:rPr>
                <w:rFonts w:hint="eastAsia" w:eastAsia="宋体" w:cs="仿宋"/>
                <w:color w:val="auto"/>
                <w:kern w:val="2"/>
                <w:szCs w:val="24"/>
                <w:lang w:val="en-US" w:eastAsia="zh-CN"/>
              </w:rPr>
            </w:pPr>
            <w:r>
              <w:rPr>
                <w:rFonts w:hint="eastAsia"/>
                <w:color w:val="auto"/>
                <w:sz w:val="24"/>
                <w:szCs w:val="24"/>
                <w:highlight w:val="none"/>
                <w:lang w:eastAsia="zh-CN"/>
              </w:rPr>
              <w:t>磋商小组由3人组成，其中</w:t>
            </w:r>
            <w:r>
              <w:rPr>
                <w:rFonts w:hint="eastAsia"/>
                <w:color w:val="auto"/>
                <w:sz w:val="24"/>
                <w:szCs w:val="24"/>
                <w:highlight w:val="none"/>
                <w:lang w:val="en-US" w:eastAsia="zh-CN"/>
              </w:rPr>
              <w:t>1位评审专家为业主代表，另外2位</w:t>
            </w:r>
            <w:r>
              <w:rPr>
                <w:rFonts w:hint="eastAsia"/>
                <w:color w:val="auto"/>
                <w:sz w:val="24"/>
                <w:szCs w:val="24"/>
                <w:highlight w:val="none"/>
              </w:rPr>
              <w:t>评审专家从</w:t>
            </w:r>
            <w:r>
              <w:rPr>
                <w:rFonts w:hint="eastAsia"/>
                <w:color w:val="auto"/>
                <w:sz w:val="24"/>
                <w:szCs w:val="24"/>
                <w:highlight w:val="none"/>
                <w:lang w:eastAsia="zh-CN"/>
              </w:rPr>
              <w:t>海南省综合</w:t>
            </w:r>
            <w:r>
              <w:rPr>
                <w:rFonts w:hint="eastAsia"/>
                <w:color w:val="auto"/>
                <w:sz w:val="24"/>
                <w:szCs w:val="24"/>
                <w:highlight w:val="none"/>
              </w:rPr>
              <w:t>评标专家库</w:t>
            </w:r>
            <w:r>
              <w:rPr>
                <w:rFonts w:hint="eastAsia"/>
                <w:color w:val="auto"/>
                <w:sz w:val="24"/>
                <w:szCs w:val="24"/>
                <w:highlight w:val="none"/>
                <w:lang w:eastAsia="zh-CN"/>
              </w:rPr>
              <w:t>中</w:t>
            </w:r>
            <w:r>
              <w:rPr>
                <w:rFonts w:hint="eastAsia"/>
                <w:color w:val="auto"/>
                <w:sz w:val="24"/>
                <w:szCs w:val="24"/>
                <w:highlight w:val="none"/>
              </w:rPr>
              <w:t>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9" w:hRule="atLeast"/>
        </w:trPr>
        <w:tc>
          <w:tcPr>
            <w:tcW w:w="663" w:type="dxa"/>
            <w:vAlign w:val="center"/>
          </w:tcPr>
          <w:p>
            <w:pPr>
              <w:pStyle w:val="8"/>
              <w:spacing w:line="360" w:lineRule="auto"/>
              <w:ind w:left="9" w:firstLine="0"/>
              <w:jc w:val="center"/>
              <w:rPr>
                <w:rFonts w:hint="default" w:ascii="宋体" w:hAnsi="宋体" w:cs="仿宋"/>
                <w:color w:val="auto"/>
                <w:sz w:val="24"/>
                <w:szCs w:val="24"/>
                <w:lang w:val="en-US" w:eastAsia="zh-CN"/>
              </w:rPr>
            </w:pPr>
            <w:r>
              <w:rPr>
                <w:rFonts w:hint="eastAsia" w:ascii="宋体" w:hAnsi="宋体" w:cs="仿宋"/>
                <w:color w:val="auto"/>
                <w:sz w:val="24"/>
                <w:szCs w:val="24"/>
                <w:lang w:val="en-US" w:eastAsia="zh-CN"/>
              </w:rPr>
              <w:t>20</w:t>
            </w:r>
          </w:p>
        </w:tc>
        <w:tc>
          <w:tcPr>
            <w:tcW w:w="2360" w:type="dxa"/>
            <w:vAlign w:val="center"/>
          </w:tcPr>
          <w:p>
            <w:pPr>
              <w:spacing w:line="360" w:lineRule="auto"/>
              <w:rPr>
                <w:rFonts w:hint="eastAsia" w:ascii="宋体" w:hAnsi="宋体" w:cs="仿宋"/>
                <w:color w:val="auto"/>
                <w:sz w:val="24"/>
                <w:szCs w:val="24"/>
                <w:lang w:eastAsia="zh-CN"/>
              </w:rPr>
            </w:pPr>
            <w:r>
              <w:rPr>
                <w:rFonts w:hint="eastAsia" w:ascii="宋体" w:hAnsi="宋体" w:cs="仿宋"/>
                <w:color w:val="auto"/>
                <w:sz w:val="24"/>
                <w:szCs w:val="24"/>
                <w:lang w:eastAsia="zh-CN"/>
              </w:rPr>
              <w:t>其他需补充的内容</w:t>
            </w:r>
          </w:p>
        </w:tc>
        <w:tc>
          <w:tcPr>
            <w:tcW w:w="5954" w:type="dxa"/>
            <w:vAlign w:val="center"/>
          </w:tcPr>
          <w:p>
            <w:pPr>
              <w:autoSpaceDE w:val="0"/>
              <w:autoSpaceDN w:val="0"/>
              <w:adjustRightInd w:val="0"/>
              <w:spacing w:line="360" w:lineRule="auto"/>
              <w:ind w:firstLine="240" w:firstLineChars="100"/>
              <w:jc w:val="left"/>
              <w:rPr>
                <w:rFonts w:ascii="宋体" w:hAnsi="宋体" w:eastAsia="PMingLiU" w:cs="宋体"/>
                <w:bCs/>
                <w:kern w:val="0"/>
                <w:sz w:val="24"/>
                <w:lang w:eastAsia="zh-TW"/>
              </w:rPr>
            </w:pPr>
            <w:r>
              <w:rPr>
                <w:rFonts w:hint="eastAsia" w:ascii="宋体" w:hAnsi="宋体" w:cs="宋体"/>
                <w:bCs/>
                <w:kern w:val="0"/>
                <w:sz w:val="24"/>
                <w:lang w:eastAsia="zh-TW"/>
              </w:rPr>
              <w:t xml:space="preserve"> 1、为防止恶意竞争导致用户权益无法保障，投标人的报价低于</w:t>
            </w:r>
            <w:r>
              <w:rPr>
                <w:rFonts w:hint="eastAsia" w:ascii="宋体" w:hAnsi="宋体" w:cs="宋体"/>
                <w:bCs/>
                <w:kern w:val="0"/>
                <w:sz w:val="24"/>
                <w:lang w:eastAsia="zh-CN"/>
              </w:rPr>
              <w:t>控制价的</w:t>
            </w:r>
            <w:r>
              <w:rPr>
                <w:rFonts w:hint="eastAsia" w:ascii="宋体" w:hAnsi="宋体" w:cs="宋体"/>
                <w:bCs/>
                <w:kern w:val="0"/>
                <w:sz w:val="24"/>
                <w:lang w:val="en-US" w:eastAsia="zh-CN"/>
              </w:rPr>
              <w:t>20%</w:t>
            </w:r>
            <w:r>
              <w:rPr>
                <w:rFonts w:hint="eastAsia" w:ascii="宋体" w:hAnsi="宋体" w:cs="宋体"/>
                <w:bCs/>
                <w:kern w:val="0"/>
                <w:sz w:val="24"/>
                <w:lang w:eastAsia="zh-TW"/>
              </w:rPr>
              <w:t>有可能影响工程质量或者不能诚信履约的，应当要求其在评标现场合理的时间内提供书面说明</w:t>
            </w:r>
            <w:r>
              <w:rPr>
                <w:rFonts w:hint="eastAsia" w:ascii="宋体" w:hAnsi="宋体" w:cs="宋体"/>
                <w:bCs/>
                <w:kern w:val="0"/>
                <w:sz w:val="24"/>
                <w:lang w:val="en-US" w:eastAsia="zh-CN"/>
              </w:rPr>
              <w:t>及提供之前以该下浮率中标的同类型业绩合同或中标通知书复印件为此说明</w:t>
            </w:r>
            <w:r>
              <w:rPr>
                <w:rFonts w:hint="eastAsia" w:ascii="宋体" w:hAnsi="宋体" w:cs="宋体"/>
                <w:bCs/>
                <w:kern w:val="0"/>
                <w:sz w:val="24"/>
                <w:lang w:eastAsia="zh-TW"/>
              </w:rPr>
              <w:t>，必要时提交相关</w:t>
            </w:r>
            <w:r>
              <w:rPr>
                <w:rFonts w:hint="eastAsia" w:ascii="宋体" w:hAnsi="宋体" w:cs="宋体"/>
                <w:bCs/>
                <w:kern w:val="0"/>
                <w:sz w:val="24"/>
                <w:lang w:eastAsia="zh-CN"/>
              </w:rPr>
              <w:t>其他</w:t>
            </w:r>
            <w:r>
              <w:rPr>
                <w:rFonts w:hint="eastAsia" w:ascii="宋体" w:hAnsi="宋体" w:cs="宋体"/>
                <w:bCs/>
                <w:kern w:val="0"/>
                <w:sz w:val="24"/>
                <w:lang w:eastAsia="zh-TW"/>
              </w:rPr>
              <w:t>证明材料；投标人不能证明其报价合理性的，评标委员会应当将其作为无效投标处理。如中标人的报价过低，明显不符合市场价格，则采购人有权要求中标人提供预算金额的10%作为履约保证金，同时预付款比例调整为0%。如中标人在实施过程中偷工减料、不按工期完成项目，则采购人有权终止合同，没收履约保证金，并报主管部门严肃处理。</w:t>
            </w:r>
          </w:p>
          <w:p>
            <w:pPr>
              <w:spacing w:line="360" w:lineRule="auto"/>
              <w:jc w:val="left"/>
              <w:rPr>
                <w:rFonts w:ascii="宋体" w:hAnsi="宋体" w:cs="宋体"/>
                <w:bCs/>
                <w:kern w:val="0"/>
                <w:sz w:val="24"/>
                <w:lang w:eastAsia="zh-TW"/>
              </w:rPr>
            </w:pPr>
            <w:r>
              <w:rPr>
                <w:rFonts w:hint="eastAsia" w:ascii="宋体" w:hAnsi="宋体" w:cs="宋体"/>
                <w:bCs/>
                <w:kern w:val="0"/>
                <w:sz w:val="24"/>
                <w:lang w:eastAsia="zh-TW"/>
              </w:rPr>
              <w:t xml:space="preserve">   2、招标人保留核实投标人是否被责令停业、财产被接管、冻结、破产的权力，若投标人在投标有效期内处于以上情形的，招标人将有权取消其中标资格。</w:t>
            </w:r>
          </w:p>
          <w:p>
            <w:pPr>
              <w:spacing w:line="360" w:lineRule="auto"/>
              <w:jc w:val="left"/>
              <w:rPr>
                <w:rFonts w:hint="eastAsia" w:ascii="宋体" w:hAnsi="宋体" w:eastAsia="宋体" w:cs="宋体"/>
                <w:bCs/>
                <w:kern w:val="0"/>
                <w:sz w:val="24"/>
                <w:szCs w:val="24"/>
                <w:lang w:val="en-US" w:eastAsia="zh-CN" w:bidi="ar-SA"/>
              </w:rPr>
            </w:pPr>
            <w:r>
              <w:rPr>
                <w:rFonts w:hint="eastAsia" w:ascii="宋体" w:hAnsi="宋体" w:cs="宋体"/>
                <w:bCs/>
                <w:kern w:val="0"/>
                <w:sz w:val="24"/>
                <w:lang w:eastAsia="zh-TW"/>
              </w:rPr>
              <w:t xml:space="preserve">   3、签订合同前或执行合同中，投标人为失信被执行人的，招标人依法取消其中标资格或中止合同。</w:t>
            </w:r>
          </w:p>
        </w:tc>
      </w:tr>
    </w:tbl>
    <w:p>
      <w:pPr>
        <w:spacing w:line="360" w:lineRule="auto"/>
        <w:ind w:firstLine="560"/>
        <w:jc w:val="center"/>
        <w:outlineLvl w:val="1"/>
        <w:rPr>
          <w:rFonts w:hint="eastAsia" w:ascii="宋体" w:hAnsi="宋体" w:cs="黑体"/>
          <w:b/>
          <w:color w:val="auto"/>
          <w:kern w:val="0"/>
          <w:sz w:val="24"/>
        </w:rPr>
      </w:pPr>
    </w:p>
    <w:p>
      <w:pPr>
        <w:spacing w:line="360" w:lineRule="auto"/>
        <w:ind w:firstLine="560"/>
        <w:jc w:val="center"/>
        <w:outlineLvl w:val="1"/>
        <w:rPr>
          <w:rFonts w:hint="eastAsia" w:ascii="宋体" w:hAnsi="宋体" w:cs="黑体"/>
          <w:b/>
          <w:color w:val="auto"/>
          <w:kern w:val="0"/>
          <w:sz w:val="24"/>
        </w:rPr>
      </w:pPr>
    </w:p>
    <w:p>
      <w:pPr>
        <w:spacing w:line="360" w:lineRule="auto"/>
        <w:ind w:firstLine="560"/>
        <w:jc w:val="center"/>
        <w:outlineLvl w:val="1"/>
        <w:rPr>
          <w:rFonts w:hint="eastAsia" w:ascii="宋体" w:hAnsi="宋体" w:cs="黑体"/>
          <w:b/>
          <w:color w:val="auto"/>
          <w:kern w:val="0"/>
          <w:sz w:val="24"/>
        </w:rPr>
      </w:pPr>
    </w:p>
    <w:p>
      <w:pPr>
        <w:spacing w:line="360" w:lineRule="auto"/>
        <w:ind w:firstLine="560"/>
        <w:jc w:val="center"/>
        <w:outlineLvl w:val="1"/>
        <w:rPr>
          <w:rFonts w:hint="eastAsia" w:ascii="宋体" w:hAnsi="宋体" w:cs="黑体"/>
          <w:b/>
          <w:color w:val="auto"/>
          <w:kern w:val="0"/>
          <w:sz w:val="24"/>
        </w:rPr>
      </w:pPr>
    </w:p>
    <w:p>
      <w:pPr>
        <w:spacing w:line="360" w:lineRule="auto"/>
        <w:ind w:firstLine="560"/>
        <w:jc w:val="center"/>
        <w:outlineLvl w:val="1"/>
        <w:rPr>
          <w:rFonts w:hint="eastAsia" w:ascii="宋体" w:hAnsi="宋体" w:cs="黑体"/>
          <w:b/>
          <w:color w:val="auto"/>
          <w:kern w:val="0"/>
          <w:sz w:val="24"/>
        </w:rPr>
      </w:pPr>
    </w:p>
    <w:p>
      <w:pPr>
        <w:spacing w:line="360" w:lineRule="auto"/>
        <w:ind w:firstLine="560"/>
        <w:jc w:val="center"/>
        <w:outlineLvl w:val="1"/>
        <w:rPr>
          <w:rFonts w:hint="eastAsia" w:ascii="宋体" w:hAnsi="宋体" w:cs="黑体"/>
          <w:b/>
          <w:color w:val="auto"/>
          <w:kern w:val="0"/>
          <w:sz w:val="24"/>
        </w:rPr>
      </w:pPr>
    </w:p>
    <w:p>
      <w:pPr>
        <w:spacing w:line="360" w:lineRule="auto"/>
        <w:ind w:firstLine="560"/>
        <w:jc w:val="center"/>
        <w:outlineLvl w:val="1"/>
        <w:rPr>
          <w:rFonts w:hint="eastAsia" w:ascii="宋体" w:hAnsi="宋体" w:cs="黑体"/>
          <w:b/>
          <w:color w:val="auto"/>
          <w:kern w:val="0"/>
          <w:sz w:val="24"/>
        </w:rPr>
      </w:pPr>
    </w:p>
    <w:p>
      <w:pPr>
        <w:spacing w:line="360" w:lineRule="auto"/>
        <w:ind w:firstLine="560"/>
        <w:jc w:val="center"/>
        <w:outlineLvl w:val="1"/>
        <w:rPr>
          <w:rFonts w:hint="eastAsia" w:ascii="宋体" w:hAnsi="宋体" w:cs="黑体"/>
          <w:b/>
          <w:color w:val="auto"/>
          <w:kern w:val="0"/>
          <w:sz w:val="24"/>
        </w:rPr>
      </w:pPr>
    </w:p>
    <w:p>
      <w:pPr>
        <w:spacing w:line="360" w:lineRule="auto"/>
        <w:ind w:firstLine="560"/>
        <w:jc w:val="center"/>
        <w:outlineLvl w:val="1"/>
        <w:rPr>
          <w:rFonts w:hint="eastAsia" w:ascii="宋体" w:hAnsi="宋体" w:cs="黑体"/>
          <w:b/>
          <w:color w:val="auto"/>
          <w:kern w:val="0"/>
          <w:sz w:val="24"/>
        </w:rPr>
      </w:pPr>
    </w:p>
    <w:p>
      <w:pPr>
        <w:spacing w:line="360" w:lineRule="auto"/>
        <w:ind w:firstLine="560"/>
        <w:jc w:val="center"/>
        <w:outlineLvl w:val="1"/>
        <w:rPr>
          <w:rFonts w:hint="eastAsia" w:ascii="宋体" w:hAnsi="宋体" w:cs="黑体"/>
          <w:b/>
          <w:color w:val="auto"/>
          <w:kern w:val="0"/>
          <w:sz w:val="24"/>
        </w:rPr>
      </w:pPr>
    </w:p>
    <w:p>
      <w:pPr>
        <w:spacing w:line="360" w:lineRule="auto"/>
        <w:ind w:firstLine="560"/>
        <w:jc w:val="center"/>
        <w:outlineLvl w:val="1"/>
        <w:rPr>
          <w:rFonts w:hint="eastAsia" w:ascii="宋体" w:hAnsi="宋体" w:cs="黑体"/>
          <w:b/>
          <w:color w:val="auto"/>
          <w:kern w:val="0"/>
          <w:sz w:val="24"/>
        </w:rPr>
      </w:pPr>
    </w:p>
    <w:p>
      <w:pPr>
        <w:spacing w:line="360" w:lineRule="auto"/>
        <w:ind w:firstLine="560"/>
        <w:jc w:val="center"/>
        <w:outlineLvl w:val="1"/>
        <w:rPr>
          <w:rFonts w:hint="eastAsia" w:ascii="宋体" w:hAnsi="宋体" w:cs="黑体"/>
          <w:b/>
          <w:color w:val="auto"/>
          <w:kern w:val="0"/>
          <w:sz w:val="24"/>
        </w:rPr>
      </w:pPr>
    </w:p>
    <w:p>
      <w:pPr>
        <w:spacing w:line="360" w:lineRule="auto"/>
        <w:ind w:firstLine="560"/>
        <w:jc w:val="center"/>
        <w:outlineLvl w:val="1"/>
        <w:rPr>
          <w:rFonts w:hint="eastAsia" w:ascii="宋体" w:hAnsi="宋体" w:cs="黑体"/>
          <w:b/>
          <w:color w:val="auto"/>
          <w:kern w:val="0"/>
          <w:sz w:val="24"/>
        </w:rPr>
      </w:pPr>
    </w:p>
    <w:p>
      <w:pPr>
        <w:spacing w:line="360" w:lineRule="auto"/>
        <w:ind w:firstLine="560"/>
        <w:jc w:val="center"/>
        <w:outlineLvl w:val="1"/>
        <w:rPr>
          <w:rFonts w:hint="eastAsia" w:ascii="宋体" w:hAnsi="宋体" w:cs="黑体"/>
          <w:b/>
          <w:color w:val="auto"/>
          <w:kern w:val="0"/>
          <w:sz w:val="24"/>
        </w:rPr>
      </w:pPr>
    </w:p>
    <w:p>
      <w:pPr>
        <w:spacing w:line="360" w:lineRule="auto"/>
        <w:ind w:firstLine="560"/>
        <w:jc w:val="center"/>
        <w:outlineLvl w:val="1"/>
        <w:rPr>
          <w:rFonts w:hint="eastAsia" w:ascii="宋体" w:hAnsi="宋体" w:cs="黑体"/>
          <w:b/>
          <w:color w:val="auto"/>
          <w:kern w:val="0"/>
          <w:sz w:val="24"/>
        </w:rPr>
      </w:pPr>
    </w:p>
    <w:p>
      <w:pPr>
        <w:spacing w:line="360" w:lineRule="auto"/>
        <w:ind w:firstLine="560"/>
        <w:jc w:val="center"/>
        <w:outlineLvl w:val="1"/>
        <w:rPr>
          <w:rFonts w:hint="eastAsia" w:ascii="宋体" w:hAnsi="宋体" w:cs="黑体"/>
          <w:b/>
          <w:color w:val="auto"/>
          <w:kern w:val="0"/>
          <w:sz w:val="24"/>
        </w:rPr>
      </w:pPr>
    </w:p>
    <w:p>
      <w:pPr>
        <w:rPr>
          <w:rFonts w:hint="eastAsia"/>
        </w:rPr>
      </w:pPr>
      <w:r>
        <w:rPr>
          <w:rFonts w:hint="eastAsia" w:ascii="宋体" w:hAnsi="宋体" w:cs="黑体"/>
          <w:b/>
          <w:color w:val="auto"/>
          <w:kern w:val="0"/>
          <w:sz w:val="24"/>
        </w:rPr>
        <w:br w:type="page"/>
      </w:r>
    </w:p>
    <w:p>
      <w:pPr>
        <w:spacing w:line="360" w:lineRule="auto"/>
        <w:ind w:firstLine="560"/>
        <w:jc w:val="center"/>
        <w:outlineLvl w:val="1"/>
        <w:rPr>
          <w:rFonts w:ascii="宋体" w:hAnsi="宋体" w:cs="黑体"/>
          <w:b/>
          <w:color w:val="auto"/>
          <w:kern w:val="0"/>
          <w:sz w:val="24"/>
        </w:rPr>
      </w:pPr>
      <w:r>
        <w:rPr>
          <w:rFonts w:hint="eastAsia" w:ascii="宋体" w:hAnsi="宋体" w:cs="黑体"/>
          <w:b/>
          <w:color w:val="auto"/>
          <w:kern w:val="0"/>
          <w:sz w:val="24"/>
        </w:rPr>
        <w:t>一、总则</w:t>
      </w:r>
      <w:bookmarkEnd w:id="4"/>
    </w:p>
    <w:p>
      <w:pPr>
        <w:spacing w:line="360" w:lineRule="auto"/>
        <w:ind w:firstLine="561"/>
        <w:rPr>
          <w:rFonts w:ascii="宋体" w:hAnsi="宋体" w:cs="宋体"/>
          <w:b/>
          <w:bCs/>
          <w:color w:val="auto"/>
          <w:kern w:val="0"/>
          <w:sz w:val="24"/>
        </w:rPr>
      </w:pPr>
    </w:p>
    <w:p>
      <w:pPr>
        <w:spacing w:line="360" w:lineRule="auto"/>
        <w:rPr>
          <w:rFonts w:ascii="宋体" w:hAnsi="宋体" w:cs="仿宋"/>
          <w:b/>
          <w:bCs/>
          <w:color w:val="auto"/>
          <w:kern w:val="0"/>
          <w:sz w:val="24"/>
          <w:szCs w:val="24"/>
        </w:rPr>
      </w:pPr>
      <w:r>
        <w:rPr>
          <w:rFonts w:hint="eastAsia" w:ascii="宋体" w:hAnsi="宋体" w:cs="仿宋"/>
          <w:b/>
          <w:bCs/>
          <w:color w:val="auto"/>
          <w:kern w:val="0"/>
          <w:sz w:val="24"/>
          <w:szCs w:val="24"/>
        </w:rPr>
        <w:t>1.基本要求</w:t>
      </w:r>
    </w:p>
    <w:p>
      <w:pPr>
        <w:pStyle w:val="94"/>
        <w:spacing w:line="360" w:lineRule="auto"/>
        <w:ind w:firstLine="480"/>
        <w:rPr>
          <w:rFonts w:ascii="宋体" w:hAnsi="宋体" w:cs="仿宋"/>
          <w:color w:val="auto"/>
          <w:sz w:val="24"/>
          <w:szCs w:val="24"/>
        </w:rPr>
      </w:pPr>
      <w:r>
        <w:rPr>
          <w:rFonts w:hint="eastAsia" w:ascii="宋体" w:hAnsi="宋体" w:cs="仿宋"/>
          <w:color w:val="auto"/>
          <w:kern w:val="0"/>
          <w:sz w:val="24"/>
          <w:szCs w:val="24"/>
        </w:rPr>
        <w:t xml:space="preserve">1.1 </w:t>
      </w:r>
      <w:r>
        <w:rPr>
          <w:rFonts w:hint="eastAsia" w:ascii="宋体" w:hAnsi="宋体" w:cs="仿宋"/>
          <w:color w:val="auto"/>
          <w:sz w:val="24"/>
          <w:szCs w:val="24"/>
        </w:rPr>
        <w:t>本竞争性谈判文件适用于本文件</w:t>
      </w:r>
      <w:r>
        <w:rPr>
          <w:rFonts w:hint="eastAsia" w:ascii="宋体" w:hAnsi="宋体" w:cs="仿宋"/>
          <w:b/>
          <w:bCs/>
          <w:color w:val="auto"/>
          <w:sz w:val="24"/>
          <w:szCs w:val="24"/>
        </w:rPr>
        <w:t>第二章</w:t>
      </w:r>
      <w:r>
        <w:rPr>
          <w:rFonts w:hint="eastAsia" w:ascii="宋体" w:hAnsi="宋体" w:cs="仿宋"/>
          <w:color w:val="auto"/>
          <w:sz w:val="24"/>
          <w:szCs w:val="24"/>
        </w:rPr>
        <w:t>中所述货物及相关服务的谈判响应。</w:t>
      </w:r>
    </w:p>
    <w:p>
      <w:pPr>
        <w:pStyle w:val="94"/>
        <w:spacing w:line="360" w:lineRule="auto"/>
        <w:ind w:firstLine="480"/>
        <w:rPr>
          <w:rFonts w:ascii="宋体" w:hAnsi="宋体" w:cs="仿宋"/>
          <w:color w:val="auto"/>
          <w:sz w:val="24"/>
          <w:szCs w:val="24"/>
        </w:rPr>
      </w:pPr>
      <w:r>
        <w:rPr>
          <w:rFonts w:hint="eastAsia" w:ascii="宋体" w:hAnsi="宋体" w:cs="仿宋"/>
          <w:color w:val="auto"/>
          <w:kern w:val="0"/>
          <w:sz w:val="24"/>
          <w:szCs w:val="24"/>
        </w:rPr>
        <w:t>1.2 具体谈判范围、采购范围及所应达到的具体要求，以本竞争性谈判文件中商务、技术和服务的相应规定为准。供应商的响应文件必须满足本次采购的实质目的，完全实现所应有的全部要求。供应商若存在任何理解上无法正确确定之处，均应当按照竞争性谈判文件所规定的提交响应文件截止时间前的澄清、修改等程序提出，否则，由此导致的任何不利后果均应当由供应商自行承担。</w:t>
      </w:r>
    </w:p>
    <w:p>
      <w:pPr>
        <w:spacing w:line="360" w:lineRule="auto"/>
        <w:rPr>
          <w:rFonts w:ascii="宋体" w:hAnsi="宋体" w:cs="仿宋"/>
          <w:b/>
          <w:bCs/>
          <w:color w:val="auto"/>
          <w:sz w:val="24"/>
          <w:szCs w:val="24"/>
        </w:rPr>
      </w:pPr>
      <w:r>
        <w:rPr>
          <w:rFonts w:hint="eastAsia" w:ascii="宋体" w:hAnsi="宋体" w:cs="仿宋"/>
          <w:b/>
          <w:bCs/>
          <w:color w:val="auto"/>
          <w:sz w:val="24"/>
          <w:szCs w:val="24"/>
        </w:rPr>
        <w:t>2.定义</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2.1“采购人”系指本项目的采购人，含采购需求者和使用者，在履行合同阶段称为甲方或买方，名称详见供应商须知前附表第1条。</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2.2“采购代理机构”系指组织本次采购活动的</w:t>
      </w:r>
      <w:r>
        <w:rPr>
          <w:rFonts w:hint="eastAsia" w:ascii="宋体" w:hAnsi="宋体" w:cs="仿宋"/>
          <w:color w:val="auto"/>
          <w:sz w:val="24"/>
          <w:szCs w:val="24"/>
          <w:lang w:eastAsia="zh-CN"/>
        </w:rPr>
        <w:t>海南众采招标代理有限公司</w:t>
      </w:r>
      <w:r>
        <w:rPr>
          <w:rFonts w:hint="eastAsia" w:ascii="宋体" w:hAnsi="宋体" w:cs="仿宋"/>
          <w:color w:val="auto"/>
          <w:sz w:val="24"/>
          <w:szCs w:val="24"/>
        </w:rPr>
        <w:t>。</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2.3“供应商”系指</w:t>
      </w:r>
      <w:r>
        <w:rPr>
          <w:rFonts w:hint="eastAsia" w:ascii="宋体" w:hAnsi="宋体" w:cs="仿宋"/>
          <w:color w:val="auto"/>
          <w:sz w:val="24"/>
          <w:szCs w:val="24"/>
          <w:lang w:val="zh-CN"/>
        </w:rPr>
        <w:t>响应并且符合竞争性谈判文件规定资格条件和参加谈判的法人、其他组织或者自然人。</w:t>
      </w:r>
      <w:r>
        <w:rPr>
          <w:rFonts w:hint="eastAsia" w:ascii="宋体" w:hAnsi="宋体" w:cs="仿宋"/>
          <w:color w:val="auto"/>
          <w:sz w:val="24"/>
          <w:szCs w:val="24"/>
        </w:rPr>
        <w:t>在谈判阶段称为供应商、供应商在签订和履行合同阶段称为乙方、卖方或成交供应商。</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2.4“潜在供应商”指符合本竞争性谈判文件各项规定的合格供应商。</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2.5 “服务”指本竞争性谈判文件</w:t>
      </w:r>
      <w:r>
        <w:rPr>
          <w:rFonts w:hint="eastAsia" w:ascii="宋体" w:hAnsi="宋体" w:cs="仿宋"/>
          <w:b/>
          <w:bCs/>
          <w:color w:val="auto"/>
          <w:sz w:val="24"/>
          <w:szCs w:val="24"/>
        </w:rPr>
        <w:t>第二章</w:t>
      </w:r>
      <w:r>
        <w:rPr>
          <w:rFonts w:hint="eastAsia" w:ascii="宋体" w:hAnsi="宋体" w:cs="仿宋"/>
          <w:color w:val="auto"/>
          <w:sz w:val="24"/>
          <w:szCs w:val="24"/>
        </w:rPr>
        <w:t>所述供应商应该履行的承诺和义务。</w:t>
      </w:r>
      <w:bookmarkStart w:id="5" w:name="_Toc267320062"/>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2.6 本竞争性谈判文件规定按日计算期间的，开始当天不计入，从次日开始计算。期限的最后一日是国家法定节假日的，顺延到节假日后的次日为期限的最后一日。</w:t>
      </w:r>
    </w:p>
    <w:p>
      <w:pPr>
        <w:spacing w:line="360" w:lineRule="auto"/>
        <w:rPr>
          <w:rFonts w:ascii="宋体" w:hAnsi="宋体" w:cs="仿宋"/>
          <w:b/>
          <w:bCs/>
          <w:color w:val="auto"/>
          <w:sz w:val="24"/>
          <w:szCs w:val="24"/>
        </w:rPr>
      </w:pPr>
      <w:r>
        <w:rPr>
          <w:rFonts w:hint="eastAsia" w:ascii="宋体" w:hAnsi="宋体" w:cs="仿宋"/>
          <w:b/>
          <w:bCs/>
          <w:color w:val="auto"/>
          <w:sz w:val="24"/>
          <w:szCs w:val="24"/>
        </w:rPr>
        <w:t>3.合格的</w:t>
      </w:r>
      <w:bookmarkEnd w:id="5"/>
      <w:r>
        <w:rPr>
          <w:rFonts w:hint="eastAsia" w:ascii="宋体" w:hAnsi="宋体" w:cs="仿宋"/>
          <w:b/>
          <w:bCs/>
          <w:color w:val="auto"/>
          <w:sz w:val="24"/>
          <w:szCs w:val="24"/>
        </w:rPr>
        <w:t>供应商</w:t>
      </w:r>
    </w:p>
    <w:p>
      <w:pPr>
        <w:spacing w:line="360" w:lineRule="auto"/>
        <w:ind w:firstLine="482" w:firstLineChars="200"/>
        <w:rPr>
          <w:rFonts w:ascii="宋体" w:hAnsi="宋体" w:cs="仿宋"/>
          <w:b/>
          <w:bCs/>
          <w:color w:val="auto"/>
          <w:sz w:val="24"/>
          <w:szCs w:val="24"/>
        </w:rPr>
      </w:pPr>
      <w:r>
        <w:rPr>
          <w:rFonts w:hint="eastAsia" w:ascii="宋体" w:hAnsi="宋体" w:cs="仿宋"/>
          <w:b/>
          <w:bCs/>
          <w:color w:val="auto"/>
          <w:sz w:val="24"/>
          <w:szCs w:val="24"/>
        </w:rPr>
        <w:t>3.1合格供应商条件</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3.1.1具有本项目实施能力，符合、承认并承诺履行本竞争性谈判文件各项规定的国内供应商均可参加谈判。</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3.1.2 供应商应符合《中华人民共和国政府采购法》规定的条件：</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（1）具有独立承担民事责任的能力；</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（2）具有良好的商业信誉和健全的财务会计制度；</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（3）具有履行合同所必需的设备和专业技术能力；</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（4）有依法缴纳税收和社会保障资金的良好记录；</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（5）参加此项采购活动前三年内，在经营活动中没有重大违法记录；</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（6）法律、行政法规规定的其他条件。</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3.1.3</w:t>
      </w:r>
      <w:r>
        <w:rPr>
          <w:rFonts w:hint="eastAsia" w:ascii="宋体" w:hAnsi="宋体"/>
          <w:color w:val="auto"/>
          <w:sz w:val="24"/>
          <w:szCs w:val="22"/>
        </w:rPr>
        <w:t>“信用中国”网站(www.creditchina.gov.cn)渠道查询供应商信用记录，经查询</w:t>
      </w:r>
      <w:r>
        <w:rPr>
          <w:rFonts w:hint="eastAsia" w:ascii="宋体" w:hAnsi="宋体"/>
          <w:color w:val="auto"/>
          <w:sz w:val="24"/>
          <w:szCs w:val="22"/>
          <w:lang w:eastAsia="zh-CN"/>
        </w:rPr>
        <w:t>未</w:t>
      </w:r>
      <w:r>
        <w:rPr>
          <w:rFonts w:hint="eastAsia" w:ascii="宋体" w:hAnsi="宋体"/>
          <w:color w:val="auto"/>
          <w:sz w:val="24"/>
          <w:szCs w:val="22"/>
        </w:rPr>
        <w:t>列入失信被执行人、重大税收违法案件当事人名单</w:t>
      </w:r>
      <w:r>
        <w:rPr>
          <w:rFonts w:hint="eastAsia" w:ascii="宋体" w:hAnsi="宋体"/>
          <w:color w:val="auto"/>
          <w:sz w:val="24"/>
          <w:szCs w:val="22"/>
          <w:lang w:eastAsia="zh-CN"/>
        </w:rPr>
        <w:t>和</w:t>
      </w:r>
      <w:r>
        <w:rPr>
          <w:rFonts w:hint="eastAsia" w:ascii="宋体" w:hAnsi="宋体"/>
          <w:color w:val="auto"/>
          <w:sz w:val="24"/>
          <w:szCs w:val="22"/>
        </w:rPr>
        <w:t>中国政府采购网(www.ccgp.gov.cn)渠道查询供应商信用记录，经查询</w:t>
      </w:r>
      <w:r>
        <w:rPr>
          <w:rFonts w:hint="eastAsia" w:ascii="宋体" w:hAnsi="宋体"/>
          <w:color w:val="auto"/>
          <w:sz w:val="24"/>
          <w:szCs w:val="22"/>
          <w:lang w:eastAsia="zh-CN"/>
        </w:rPr>
        <w:t>未</w:t>
      </w:r>
      <w:r>
        <w:rPr>
          <w:rFonts w:hint="eastAsia" w:ascii="宋体" w:hAnsi="宋体"/>
          <w:color w:val="auto"/>
          <w:sz w:val="24"/>
          <w:szCs w:val="22"/>
        </w:rPr>
        <w:t>列入政府采购严重违法失信行为记录名单</w:t>
      </w:r>
      <w:r>
        <w:rPr>
          <w:rFonts w:hint="eastAsia" w:ascii="宋体" w:hAnsi="宋体"/>
          <w:color w:val="auto"/>
          <w:sz w:val="24"/>
          <w:szCs w:val="22"/>
          <w:lang w:val="en-US" w:eastAsia="zh-CN"/>
        </w:rPr>
        <w:t>（提供网址证明截图并加盖公章）</w:t>
      </w:r>
      <w:r>
        <w:rPr>
          <w:rFonts w:hint="eastAsia" w:ascii="宋体" w:hAnsi="宋体"/>
          <w:color w:val="auto"/>
          <w:sz w:val="24"/>
          <w:szCs w:val="22"/>
          <w:lang w:eastAsia="zh-CN"/>
        </w:rPr>
        <w:t>。</w:t>
      </w:r>
    </w:p>
    <w:p>
      <w:pPr>
        <w:spacing w:line="360" w:lineRule="auto"/>
        <w:ind w:firstLine="482" w:firstLineChars="200"/>
        <w:rPr>
          <w:rFonts w:ascii="宋体" w:hAnsi="宋体" w:cs="仿宋"/>
          <w:b/>
          <w:bCs/>
          <w:color w:val="auto"/>
          <w:sz w:val="24"/>
          <w:szCs w:val="24"/>
        </w:rPr>
      </w:pPr>
      <w:r>
        <w:rPr>
          <w:rFonts w:hint="eastAsia" w:ascii="宋体" w:hAnsi="宋体" w:cs="仿宋"/>
          <w:b/>
          <w:bCs/>
          <w:color w:val="auto"/>
          <w:sz w:val="24"/>
          <w:szCs w:val="24"/>
        </w:rPr>
        <w:t>3.2 关系供应商限制</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3.2.1 利害关系供应商处理。单位负责人为同一人或者存在直接控股、管理关系的不同供应商不得参加同一合同项下的政府采购活动，否则，其响应文件作为无效处理。</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3.2.2 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3.2.3 利害关系代理人处理。2家以上的供应商不得在同一合同项下的采购项目中，同时委托同一个自然人、同一家庭的人员、同一单位的人员作为其代理人，否则，其响应文件作为无效处理。</w:t>
      </w:r>
    </w:p>
    <w:p>
      <w:pPr>
        <w:spacing w:line="360" w:lineRule="auto"/>
        <w:ind w:firstLine="482" w:firstLineChars="200"/>
        <w:rPr>
          <w:rFonts w:ascii="宋体" w:hAnsi="宋体" w:cs="仿宋"/>
          <w:b/>
          <w:bCs/>
          <w:color w:val="auto"/>
          <w:sz w:val="24"/>
          <w:szCs w:val="24"/>
        </w:rPr>
      </w:pPr>
      <w:r>
        <w:rPr>
          <w:rFonts w:hint="eastAsia" w:ascii="宋体" w:hAnsi="宋体" w:cs="仿宋"/>
          <w:b/>
          <w:bCs/>
          <w:color w:val="auto"/>
          <w:sz w:val="24"/>
          <w:szCs w:val="24"/>
        </w:rPr>
        <w:t>3.3 联合体响应</w:t>
      </w:r>
    </w:p>
    <w:p>
      <w:pPr>
        <w:spacing w:line="360" w:lineRule="auto"/>
        <w:ind w:firstLine="480" w:firstLineChars="200"/>
        <w:rPr>
          <w:rFonts w:ascii="宋体" w:hAnsi="宋体" w:cs="仿宋"/>
          <w:b/>
          <w:bCs/>
          <w:color w:val="auto"/>
          <w:sz w:val="24"/>
          <w:szCs w:val="24"/>
        </w:rPr>
      </w:pPr>
      <w:r>
        <w:rPr>
          <w:rFonts w:hint="eastAsia" w:ascii="宋体" w:hAnsi="宋体" w:cs="仿宋"/>
          <w:color w:val="auto"/>
          <w:sz w:val="24"/>
          <w:szCs w:val="24"/>
        </w:rPr>
        <w:t>本项目不接受联合体响应。</w:t>
      </w:r>
    </w:p>
    <w:p>
      <w:pPr>
        <w:spacing w:line="360" w:lineRule="auto"/>
        <w:ind w:firstLine="482" w:firstLineChars="200"/>
        <w:rPr>
          <w:rFonts w:ascii="宋体" w:hAnsi="宋体" w:cs="仿宋"/>
          <w:b/>
          <w:bCs/>
          <w:color w:val="auto"/>
          <w:sz w:val="24"/>
          <w:szCs w:val="24"/>
        </w:rPr>
      </w:pPr>
      <w:r>
        <w:rPr>
          <w:rFonts w:hint="eastAsia" w:ascii="宋体" w:hAnsi="宋体" w:cs="仿宋"/>
          <w:b/>
          <w:bCs/>
          <w:color w:val="auto"/>
          <w:sz w:val="24"/>
          <w:szCs w:val="24"/>
        </w:rPr>
        <w:t>3.4供应商的风险</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3.4.1如供应商代表不是法定代表人/主要负责人，在递交响应文件时须出示身份证原件，并递交身份证复印件和法定代表人/主要负责人授权委托书原件（按竞争性谈判文件格式填写），否则响应文件将被</w:t>
      </w:r>
      <w:r>
        <w:rPr>
          <w:rFonts w:hint="eastAsia" w:ascii="宋体" w:hAnsi="宋体" w:cs="仿宋"/>
          <w:b/>
          <w:bCs/>
          <w:color w:val="auto"/>
          <w:sz w:val="24"/>
          <w:szCs w:val="24"/>
        </w:rPr>
        <w:t>拒绝</w:t>
      </w:r>
      <w:r>
        <w:rPr>
          <w:rFonts w:hint="eastAsia" w:ascii="宋体" w:hAnsi="宋体" w:cs="仿宋"/>
          <w:color w:val="auto"/>
          <w:sz w:val="24"/>
          <w:szCs w:val="24"/>
        </w:rPr>
        <w:t>；如供应商代表是法定代表人/主要负责人，在递交响应文件时须出示身份证原件，并递交身份证复印件，否则响应文件将被</w:t>
      </w:r>
      <w:r>
        <w:rPr>
          <w:rFonts w:hint="eastAsia" w:ascii="宋体" w:hAnsi="宋体" w:cs="仿宋"/>
          <w:b/>
          <w:bCs/>
          <w:color w:val="auto"/>
          <w:sz w:val="24"/>
          <w:szCs w:val="24"/>
        </w:rPr>
        <w:t>拒绝</w:t>
      </w:r>
      <w:r>
        <w:rPr>
          <w:rFonts w:hint="eastAsia" w:ascii="宋体" w:hAnsi="宋体" w:cs="仿宋"/>
          <w:color w:val="auto"/>
          <w:sz w:val="24"/>
          <w:szCs w:val="24"/>
        </w:rPr>
        <w:t>。</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3.4.2供应商没有按照竞争性谈判文件的要求编制、签署、密封、标记、递交及修正响应文件的，自行承担响应无效的风险。</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3.4.3响应文件没有对竞争性谈判文件在各方面都做出实质性响应的，视为不合格供应商。</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3.4.4供应商提交的响应文件内容有下列情形之一的，一经发现，采购代理机构或采购人在任何时候都有权依法追究供应商的责任：</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（1）提供虚假的资料。</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（2）在实质性方面失实。</w:t>
      </w:r>
    </w:p>
    <w:p>
      <w:pPr>
        <w:spacing w:line="360" w:lineRule="auto"/>
        <w:ind w:firstLine="482" w:firstLineChars="200"/>
        <w:rPr>
          <w:rFonts w:ascii="宋体" w:hAnsi="宋体" w:cs="仿宋_GB2312"/>
          <w:b/>
          <w:bCs/>
          <w:color w:val="auto"/>
          <w:sz w:val="24"/>
        </w:rPr>
      </w:pPr>
      <w:r>
        <w:rPr>
          <w:rFonts w:hint="eastAsia" w:ascii="宋体" w:hAnsi="宋体" w:cs="仿宋_GB2312"/>
          <w:b/>
          <w:bCs/>
          <w:color w:val="auto"/>
          <w:sz w:val="24"/>
        </w:rPr>
        <w:t>3.5供应商家数的计算</w:t>
      </w:r>
    </w:p>
    <w:p>
      <w:pPr>
        <w:spacing w:line="360" w:lineRule="auto"/>
        <w:ind w:firstLine="480" w:firstLineChars="200"/>
        <w:rPr>
          <w:rFonts w:ascii="宋体" w:hAnsi="宋体" w:cs="仿宋"/>
          <w:color w:val="auto"/>
          <w:sz w:val="24"/>
        </w:rPr>
      </w:pPr>
      <w:r>
        <w:rPr>
          <w:rFonts w:hint="eastAsia" w:ascii="宋体" w:hAnsi="宋体" w:cs="仿宋"/>
          <w:color w:val="auto"/>
          <w:sz w:val="24"/>
        </w:rPr>
        <w:t>采用最低评标价法的采购项目，提供相同品牌产品的不同供应商参加同一合同项下报价的，以其中通过资格审查、符合性审查且报价最低的参加评审；报价相同的，由采购人或者采购人委托评标委员会按照竞争性</w:t>
      </w:r>
      <w:r>
        <w:rPr>
          <w:rFonts w:ascii="宋体" w:hAnsi="宋体" w:cs="仿宋"/>
          <w:color w:val="auto"/>
          <w:sz w:val="24"/>
        </w:rPr>
        <w:t>谈判文件</w:t>
      </w:r>
      <w:r>
        <w:rPr>
          <w:rFonts w:hint="eastAsia" w:ascii="宋体" w:hAnsi="宋体" w:cs="仿宋"/>
          <w:color w:val="auto"/>
          <w:sz w:val="24"/>
        </w:rPr>
        <w:t>规定的方式确定一个参加评标的供应商，竞争性谈判文件未规定的采取随机抽取方式确定，其他报价无效。</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rPr>
        <w:t>非单一产品采购项目，采购人应当根据采购项目技术构成、产品价格比重等合理确定核心产品，并在会议纪要中载明。多家供应商提供的核心产品品牌相同的，按前款规定处理。</w:t>
      </w:r>
    </w:p>
    <w:p>
      <w:pPr>
        <w:spacing w:line="360" w:lineRule="auto"/>
        <w:rPr>
          <w:rFonts w:ascii="宋体" w:hAnsi="宋体" w:cs="仿宋"/>
          <w:b/>
          <w:bCs/>
          <w:color w:val="auto"/>
          <w:sz w:val="24"/>
          <w:szCs w:val="24"/>
        </w:rPr>
      </w:pPr>
      <w:r>
        <w:rPr>
          <w:rFonts w:hint="eastAsia" w:ascii="宋体" w:hAnsi="宋体" w:cs="仿宋"/>
          <w:b/>
          <w:bCs/>
          <w:color w:val="auto"/>
          <w:sz w:val="24"/>
          <w:szCs w:val="24"/>
        </w:rPr>
        <w:t>4.响应费用</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4.1无论谈判过程中的做法和结果如何，供应商自行承担所有与参加谈判活动有关的全部费用，采购代理机构和采购人在任何情况下均无义务和责任承担这些费用；</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4.2本次采购活动，代理服务费的交纳详见供应商须知前附表要求。</w:t>
      </w:r>
    </w:p>
    <w:p>
      <w:pPr>
        <w:spacing w:line="360" w:lineRule="auto"/>
        <w:rPr>
          <w:rFonts w:ascii="宋体" w:hAnsi="宋体" w:cs="仿宋"/>
          <w:b/>
          <w:bCs/>
          <w:color w:val="auto"/>
          <w:sz w:val="24"/>
        </w:rPr>
      </w:pPr>
      <w:r>
        <w:rPr>
          <w:rFonts w:hint="eastAsia" w:ascii="宋体" w:hAnsi="宋体" w:cs="仿宋"/>
          <w:b/>
          <w:bCs/>
          <w:color w:val="auto"/>
          <w:sz w:val="24"/>
        </w:rPr>
        <w:t>5.中小企业政策及节能环保、信息安全要求</w:t>
      </w:r>
    </w:p>
    <w:p>
      <w:pPr>
        <w:spacing w:line="360" w:lineRule="auto"/>
        <w:ind w:firstLine="480" w:firstLineChars="200"/>
        <w:rPr>
          <w:rFonts w:hint="eastAsia" w:ascii="宋体" w:hAnsi="宋体" w:cs="仿宋"/>
          <w:color w:val="auto"/>
          <w:sz w:val="24"/>
          <w:lang w:val="en-US" w:eastAsia="zh-CN"/>
        </w:rPr>
      </w:pPr>
      <w:r>
        <w:rPr>
          <w:rFonts w:hint="eastAsia" w:ascii="宋体" w:hAnsi="宋体" w:cs="仿宋"/>
          <w:color w:val="auto"/>
          <w:sz w:val="24"/>
          <w:lang w:val="en-US" w:eastAsia="zh-CN"/>
        </w:rPr>
        <w:t>5.1关于政策性优惠</w:t>
      </w:r>
    </w:p>
    <w:p>
      <w:pPr>
        <w:spacing w:line="360" w:lineRule="auto"/>
        <w:ind w:firstLine="480" w:firstLineChars="200"/>
        <w:rPr>
          <w:rFonts w:hint="eastAsia" w:ascii="宋体" w:hAnsi="宋体" w:cs="仿宋"/>
          <w:color w:val="auto"/>
          <w:sz w:val="24"/>
          <w:lang w:val="en-US" w:eastAsia="zh-CN"/>
        </w:rPr>
      </w:pPr>
      <w:r>
        <w:rPr>
          <w:rFonts w:hint="eastAsia" w:ascii="宋体" w:hAnsi="宋体" w:cs="仿宋"/>
          <w:color w:val="auto"/>
          <w:sz w:val="24"/>
          <w:lang w:val="en-US" w:eastAsia="zh-CN"/>
        </w:rPr>
        <w:t xml:space="preserve">因落实政府采购进行价格调整的，以调整后的价格计算评标基准价和投标报价。 </w:t>
      </w:r>
    </w:p>
    <w:p>
      <w:pPr>
        <w:spacing w:line="360" w:lineRule="auto"/>
        <w:ind w:firstLine="480" w:firstLineChars="200"/>
        <w:rPr>
          <w:rFonts w:hint="eastAsia" w:ascii="宋体" w:hAnsi="宋体" w:cs="仿宋"/>
          <w:color w:val="auto"/>
          <w:sz w:val="24"/>
          <w:lang w:val="en-US" w:eastAsia="zh-CN"/>
        </w:rPr>
      </w:pPr>
      <w:r>
        <w:rPr>
          <w:rFonts w:hint="eastAsia" w:ascii="宋体" w:hAnsi="宋体" w:cs="仿宋"/>
          <w:color w:val="auto"/>
          <w:sz w:val="24"/>
          <w:lang w:val="en-US" w:eastAsia="zh-CN"/>
        </w:rPr>
        <w:t>供应商同时满足以下情况一种以上情形者，不重复享受本项优惠。均按一次折扣（10%）的优惠折算后计算投标报价得分。</w:t>
      </w:r>
      <w:r>
        <w:rPr>
          <w:rFonts w:hint="eastAsia" w:ascii="宋体" w:hAnsi="宋体" w:cs="仿宋"/>
          <w:color w:val="auto"/>
          <w:sz w:val="24"/>
        </w:rPr>
        <w:t>用扣除后的价格参与价格评审。扣除后的价格仅用来计算价格得分，中标金额以最后报价为准。供应商为小型和微型的，必须在《报价一览表》中注明</w:t>
      </w:r>
      <w:r>
        <w:rPr>
          <w:rFonts w:hint="eastAsia" w:ascii="宋体" w:hAnsi="宋体" w:cs="仿宋"/>
          <w:color w:val="auto"/>
          <w:sz w:val="24"/>
          <w:lang w:eastAsia="zh-CN"/>
        </w:rPr>
        <w:t>。</w:t>
      </w:r>
    </w:p>
    <w:p>
      <w:pPr>
        <w:spacing w:line="360" w:lineRule="auto"/>
        <w:ind w:firstLine="480" w:firstLineChars="200"/>
        <w:rPr>
          <w:rFonts w:hint="eastAsia" w:ascii="宋体" w:hAnsi="宋体" w:cs="仿宋"/>
          <w:color w:val="auto"/>
          <w:sz w:val="24"/>
          <w:lang w:val="en-US" w:eastAsia="zh-CN"/>
        </w:rPr>
      </w:pPr>
      <w:r>
        <w:rPr>
          <w:rFonts w:hint="eastAsia" w:ascii="宋体" w:hAnsi="宋体" w:cs="仿宋"/>
          <w:color w:val="auto"/>
          <w:sz w:val="24"/>
          <w:lang w:val="en-US" w:eastAsia="zh-CN"/>
        </w:rPr>
        <w:t xml:space="preserve">5.2小微企业 </w:t>
      </w:r>
    </w:p>
    <w:p>
      <w:pPr>
        <w:spacing w:line="360" w:lineRule="auto"/>
        <w:ind w:firstLine="480" w:firstLineChars="200"/>
        <w:rPr>
          <w:rFonts w:hint="eastAsia" w:ascii="宋体" w:hAnsi="宋体" w:cs="仿宋"/>
          <w:color w:val="auto"/>
          <w:sz w:val="24"/>
          <w:lang w:val="en-US" w:eastAsia="zh-CN"/>
        </w:rPr>
      </w:pPr>
      <w:r>
        <w:rPr>
          <w:rFonts w:hint="eastAsia" w:ascii="宋体" w:hAnsi="宋体" w:cs="仿宋"/>
          <w:color w:val="auto"/>
          <w:sz w:val="24"/>
          <w:lang w:val="en-US" w:eastAsia="zh-CN"/>
        </w:rPr>
        <w:t xml:space="preserve">5.2.1 小微企业（供应商）：指符合《小企业划型标准规定》的供应商，通过投标提供该企业制造的货物，由该企业承担的工程或者服务，或者提供其他小微企业制造的货物。本项所指货物不包括使用大型、中型企业注册商标的货物。本次采购所属行业为：制造业。   </w:t>
      </w:r>
    </w:p>
    <w:p>
      <w:pPr>
        <w:spacing w:line="360" w:lineRule="auto"/>
        <w:ind w:firstLine="480" w:firstLineChars="200"/>
        <w:rPr>
          <w:rFonts w:hint="eastAsia" w:ascii="宋体" w:hAnsi="宋体" w:cs="仿宋"/>
          <w:color w:val="auto"/>
          <w:sz w:val="24"/>
        </w:rPr>
      </w:pPr>
      <w:r>
        <w:rPr>
          <w:rFonts w:hint="eastAsia" w:ascii="宋体" w:hAnsi="宋体" w:cs="仿宋"/>
          <w:color w:val="auto"/>
          <w:sz w:val="24"/>
          <w:lang w:val="en-US" w:eastAsia="zh-CN"/>
        </w:rPr>
        <w:t xml:space="preserve">5.2.2 供应商为小型和微型企业，必须提供“中小企业声明函”（详见格式）。 </w:t>
      </w:r>
      <w:r>
        <w:rPr>
          <w:rFonts w:hint="eastAsia" w:ascii="宋体" w:hAnsi="宋体" w:cs="仿宋"/>
          <w:color w:val="auto"/>
          <w:sz w:val="24"/>
        </w:rPr>
        <w:t xml:space="preserve">享受政策优惠的小型、微型投标人须提供合法有效的“中小企业声明函”原件及中华人民共和国工商行政管理总局官网上“小微企业名录”查询截图（ </w:t>
      </w:r>
      <w:r>
        <w:rPr>
          <w:rFonts w:hint="eastAsia" w:ascii="宋体" w:hAnsi="宋体" w:cs="仿宋"/>
          <w:color w:val="auto"/>
          <w:sz w:val="24"/>
        </w:rPr>
        <w:fldChar w:fldCharType="begin"/>
      </w:r>
      <w:r>
        <w:rPr>
          <w:rFonts w:hint="eastAsia" w:ascii="宋体" w:hAnsi="宋体" w:cs="仿宋"/>
          <w:color w:val="auto"/>
          <w:sz w:val="24"/>
        </w:rPr>
        <w:instrText xml:space="preserve"> HYPERLINK "http://xwqy.gsxt.gov.cn/））或残疾人福利性单位声明函。如不满足以上三项要求，采购代理机构一律不给予价格评审优惠政策。" </w:instrText>
      </w:r>
      <w:r>
        <w:rPr>
          <w:rFonts w:hint="eastAsia" w:ascii="宋体" w:hAnsi="宋体" w:cs="仿宋"/>
          <w:color w:val="auto"/>
          <w:sz w:val="24"/>
        </w:rPr>
        <w:fldChar w:fldCharType="separate"/>
      </w:r>
      <w:r>
        <w:rPr>
          <w:rFonts w:hint="eastAsia" w:ascii="宋体" w:hAnsi="宋体" w:cs="仿宋"/>
          <w:color w:val="auto"/>
          <w:sz w:val="24"/>
        </w:rPr>
        <w:t>http://xwqy.gsxt.gov.cn/）</w:t>
      </w:r>
      <w:r>
        <w:rPr>
          <w:rFonts w:hint="eastAsia" w:ascii="宋体" w:hAnsi="宋体" w:cs="仿宋"/>
          <w:color w:val="auto"/>
          <w:sz w:val="24"/>
          <w:lang w:val="zh-CN"/>
        </w:rPr>
        <w:t>）；</w:t>
      </w:r>
      <w:r>
        <w:rPr>
          <w:rFonts w:hint="eastAsia" w:ascii="宋体" w:hAnsi="宋体" w:cs="仿宋"/>
          <w:color w:val="auto"/>
          <w:sz w:val="24"/>
          <w:lang w:val="zh-CN"/>
        </w:rPr>
        <w:fldChar w:fldCharType="end"/>
      </w:r>
      <w:r>
        <w:rPr>
          <w:rFonts w:hint="eastAsia" w:ascii="宋体" w:hAnsi="宋体" w:cs="仿宋"/>
          <w:color w:val="auto"/>
          <w:sz w:val="24"/>
        </w:rPr>
        <w:t>未按要求提供的，视为放弃享受小微企业价格扣除优惠政策。</w:t>
      </w:r>
    </w:p>
    <w:p>
      <w:pPr>
        <w:spacing w:line="360" w:lineRule="auto"/>
        <w:ind w:firstLine="480" w:firstLineChars="200"/>
        <w:rPr>
          <w:rFonts w:hint="eastAsia" w:ascii="宋体" w:hAnsi="宋体" w:cs="仿宋"/>
          <w:color w:val="auto"/>
          <w:sz w:val="24"/>
          <w:lang w:val="en-US" w:eastAsia="zh-CN"/>
        </w:rPr>
      </w:pPr>
      <w:r>
        <w:rPr>
          <w:rFonts w:hint="eastAsia" w:ascii="宋体" w:hAnsi="宋体" w:cs="仿宋"/>
          <w:color w:val="auto"/>
          <w:sz w:val="24"/>
          <w:lang w:val="en-US" w:eastAsia="zh-CN"/>
        </w:rPr>
        <w:t>中小企业认定标准为：（1）本规定所称中小企业划分标准，是指国务院有关部门根据企业从业人员、营业收入、资产总额等 97 指标制定的中小企业划型标准（工信部联企业〔2011〕300 号）、财政部、工业和信息化部关于《政府采购促进中小企业发展暂行办法》（财库【2020】46 号）。（2）小型、微型企业提供有中型企业制造的货物的，视同为中型企业；小型、微型、中型企业提供有大型企业制造的货物的，视同为大型企业。</w:t>
      </w:r>
    </w:p>
    <w:p>
      <w:pPr>
        <w:spacing w:line="360" w:lineRule="auto"/>
        <w:ind w:firstLine="480" w:firstLineChars="200"/>
        <w:rPr>
          <w:rFonts w:hint="eastAsia" w:ascii="宋体" w:hAnsi="宋体" w:cs="仿宋"/>
          <w:color w:val="auto"/>
          <w:sz w:val="24"/>
          <w:lang w:val="en-US" w:eastAsia="zh-CN"/>
        </w:rPr>
      </w:pPr>
      <w:r>
        <w:rPr>
          <w:rFonts w:hint="eastAsia" w:ascii="宋体" w:hAnsi="宋体" w:cs="仿宋"/>
          <w:color w:val="auto"/>
          <w:sz w:val="24"/>
          <w:lang w:val="en-US" w:eastAsia="zh-CN"/>
        </w:rPr>
        <w:t xml:space="preserve">5.3 监狱企业 </w:t>
      </w:r>
    </w:p>
    <w:p>
      <w:pPr>
        <w:spacing w:line="360" w:lineRule="auto"/>
        <w:ind w:firstLine="480" w:firstLineChars="200"/>
        <w:rPr>
          <w:rFonts w:hint="eastAsia" w:ascii="宋体" w:hAnsi="宋体" w:cs="仿宋"/>
          <w:color w:val="auto"/>
          <w:sz w:val="24"/>
          <w:lang w:val="en-US" w:eastAsia="zh-CN"/>
        </w:rPr>
      </w:pPr>
      <w:r>
        <w:rPr>
          <w:rFonts w:hint="eastAsia" w:ascii="宋体" w:hAnsi="宋体" w:cs="仿宋"/>
          <w:color w:val="auto"/>
          <w:sz w:val="24"/>
          <w:lang w:val="en-US" w:eastAsia="zh-CN"/>
        </w:rPr>
        <w:t>5.3.1 监狱企业参加政府采购活动时，应当提供由省级以上监狱管理局、戒毒管理局（含新疆生产建 设兵团）等出具的属于监狱企业的证明文件。</w:t>
      </w:r>
    </w:p>
    <w:p>
      <w:pPr>
        <w:spacing w:line="360" w:lineRule="auto"/>
        <w:ind w:firstLine="480" w:firstLineChars="200"/>
        <w:rPr>
          <w:rFonts w:hint="eastAsia" w:ascii="宋体" w:hAnsi="宋体" w:cs="仿宋"/>
          <w:color w:val="auto"/>
          <w:sz w:val="24"/>
          <w:lang w:val="en-US" w:eastAsia="zh-CN"/>
        </w:rPr>
      </w:pPr>
      <w:r>
        <w:rPr>
          <w:rFonts w:hint="eastAsia" w:ascii="宋体" w:hAnsi="宋体" w:cs="仿宋"/>
          <w:color w:val="auto"/>
          <w:sz w:val="24"/>
          <w:lang w:val="en-US" w:eastAsia="zh-CN"/>
        </w:rPr>
        <w:t xml:space="preserve">5.4、残疾人福利性单位 </w:t>
      </w:r>
    </w:p>
    <w:p>
      <w:pPr>
        <w:spacing w:line="360" w:lineRule="auto"/>
        <w:ind w:firstLine="480" w:firstLineChars="200"/>
        <w:rPr>
          <w:rFonts w:hint="eastAsia" w:ascii="宋体" w:hAnsi="宋体" w:cs="仿宋"/>
          <w:color w:val="auto"/>
          <w:sz w:val="24"/>
          <w:lang w:val="en-US" w:eastAsia="zh-CN"/>
        </w:rPr>
      </w:pPr>
      <w:r>
        <w:rPr>
          <w:rFonts w:hint="eastAsia" w:ascii="宋体" w:hAnsi="宋体" w:cs="仿宋"/>
          <w:color w:val="auto"/>
          <w:sz w:val="24"/>
          <w:lang w:val="en-US" w:eastAsia="zh-CN"/>
        </w:rPr>
        <w:t>5.4.1 符合财政部 民政部中国残疾人联合会《关于促进残疾人就业政府采购政策的通知》财库 [2017]141 号要求。供应商为残疾人福利性单位，必须提供“残疾人福利性单位声明函”。</w:t>
      </w:r>
    </w:p>
    <w:p>
      <w:pPr>
        <w:spacing w:line="360" w:lineRule="auto"/>
        <w:ind w:firstLine="480" w:firstLineChars="200"/>
        <w:rPr>
          <w:rFonts w:hint="eastAsia" w:ascii="宋体" w:hAnsi="宋体" w:cs="仿宋"/>
          <w:color w:val="auto"/>
          <w:sz w:val="24"/>
          <w:lang w:val="en-US" w:eastAsia="zh-CN"/>
        </w:rPr>
      </w:pPr>
      <w:r>
        <w:rPr>
          <w:rFonts w:hint="eastAsia" w:ascii="宋体" w:hAnsi="宋体" w:cs="仿宋"/>
          <w:color w:val="auto"/>
          <w:sz w:val="24"/>
          <w:lang w:val="en-US" w:eastAsia="zh-CN"/>
        </w:rPr>
        <w:t xml:space="preserve"> 5.4.2 成交、成交供应商为残疾人福利性单位的，采购人或者其委托的采购代理机构应当随成交、成 交结果同时公告其《残疾人福利性单位声明函》，接受社会监督。 </w:t>
      </w:r>
    </w:p>
    <w:p>
      <w:pPr>
        <w:spacing w:line="360" w:lineRule="auto"/>
        <w:ind w:firstLine="480" w:firstLineChars="200"/>
        <w:rPr>
          <w:rFonts w:hint="eastAsia" w:ascii="宋体" w:hAnsi="宋体" w:cs="仿宋"/>
          <w:color w:val="auto"/>
          <w:sz w:val="24"/>
          <w:lang w:val="en-US" w:eastAsia="zh-CN"/>
        </w:rPr>
      </w:pPr>
      <w:r>
        <w:rPr>
          <w:rFonts w:hint="eastAsia" w:ascii="宋体" w:hAnsi="宋体" w:cs="仿宋"/>
          <w:color w:val="auto"/>
          <w:sz w:val="24"/>
          <w:lang w:val="en-US" w:eastAsia="zh-CN"/>
        </w:rPr>
        <w:t xml:space="preserve">特别声明:对于未能按照要求填写及未能提供证明资料或提供资料不完整的视同未提供。 </w:t>
      </w:r>
    </w:p>
    <w:p>
      <w:pPr>
        <w:spacing w:line="360" w:lineRule="auto"/>
        <w:ind w:firstLine="480" w:firstLineChars="200"/>
        <w:rPr>
          <w:rFonts w:hint="eastAsia" w:ascii="宋体" w:hAnsi="宋体" w:cs="仿宋"/>
          <w:color w:val="auto"/>
          <w:sz w:val="24"/>
        </w:rPr>
      </w:pPr>
      <w:r>
        <w:rPr>
          <w:rFonts w:hint="eastAsia" w:ascii="宋体" w:hAnsi="宋体" w:cs="仿宋"/>
          <w:color w:val="auto"/>
          <w:sz w:val="24"/>
          <w:lang w:val="en-US" w:eastAsia="zh-CN"/>
        </w:rPr>
        <w:t>如有虚假骗取政策性优惠，将依法承担</w:t>
      </w:r>
      <w:r>
        <w:rPr>
          <w:rFonts w:hint="eastAsia" w:ascii="宋体" w:hAnsi="宋体" w:cs="仿宋"/>
          <w:color w:val="auto"/>
          <w:sz w:val="24"/>
        </w:rPr>
        <w:t>相应责任。</w:t>
      </w:r>
    </w:p>
    <w:p>
      <w:pPr>
        <w:spacing w:line="360" w:lineRule="auto"/>
        <w:ind w:firstLine="480" w:firstLineChars="200"/>
        <w:outlineLvl w:val="9"/>
        <w:rPr>
          <w:rFonts w:ascii="宋体" w:hAnsi="宋体" w:cs="仿宋"/>
          <w:color w:val="auto"/>
          <w:sz w:val="24"/>
        </w:rPr>
      </w:pPr>
      <w:r>
        <w:rPr>
          <w:rFonts w:hint="eastAsia" w:ascii="宋体" w:hAnsi="宋体" w:cs="仿宋"/>
          <w:color w:val="auto"/>
          <w:sz w:val="24"/>
        </w:rPr>
        <w:t>5.</w:t>
      </w:r>
      <w:r>
        <w:rPr>
          <w:rFonts w:hint="eastAsia" w:ascii="宋体" w:hAnsi="宋体" w:cs="仿宋"/>
          <w:color w:val="auto"/>
          <w:sz w:val="24"/>
          <w:lang w:val="en-US" w:eastAsia="zh-CN"/>
        </w:rPr>
        <w:t>5</w:t>
      </w:r>
      <w:r>
        <w:rPr>
          <w:rFonts w:hint="eastAsia" w:ascii="宋体" w:hAnsi="宋体" w:cs="仿宋"/>
          <w:color w:val="auto"/>
          <w:sz w:val="24"/>
        </w:rPr>
        <w:t>本次招标优先选购中华人民共和国财政部公布的《节能环保产品目录》的标的物。</w:t>
      </w:r>
    </w:p>
    <w:p>
      <w:pPr>
        <w:spacing w:line="360" w:lineRule="auto"/>
        <w:ind w:firstLine="480" w:firstLineChars="200"/>
        <w:rPr>
          <w:rFonts w:ascii="宋体" w:hAnsi="宋体" w:cs="仿宋"/>
          <w:color w:val="auto"/>
          <w:sz w:val="24"/>
        </w:rPr>
      </w:pPr>
      <w:r>
        <w:rPr>
          <w:rFonts w:hint="eastAsia" w:ascii="宋体" w:hAnsi="宋体" w:cs="仿宋"/>
          <w:color w:val="auto"/>
          <w:sz w:val="24"/>
        </w:rPr>
        <w:t>5.</w:t>
      </w:r>
      <w:r>
        <w:rPr>
          <w:rFonts w:hint="eastAsia" w:ascii="宋体" w:hAnsi="宋体" w:cs="仿宋"/>
          <w:color w:val="auto"/>
          <w:sz w:val="24"/>
          <w:lang w:val="en-US" w:eastAsia="zh-CN"/>
        </w:rPr>
        <w:t>6</w:t>
      </w:r>
      <w:r>
        <w:rPr>
          <w:rFonts w:hint="eastAsia" w:ascii="宋体" w:hAnsi="宋体" w:cs="仿宋"/>
          <w:color w:val="auto"/>
          <w:sz w:val="24"/>
        </w:rPr>
        <w:t>关于强制采购节能产品和优先采购环境标志产品的要求</w:t>
      </w:r>
    </w:p>
    <w:p>
      <w:pPr>
        <w:spacing w:line="360" w:lineRule="auto"/>
        <w:ind w:firstLine="480" w:firstLineChars="200"/>
        <w:rPr>
          <w:rFonts w:hint="default"/>
          <w:lang w:val="en-US" w:eastAsia="zh-CN"/>
        </w:rPr>
      </w:pPr>
      <w:r>
        <w:rPr>
          <w:rFonts w:hint="eastAsia" w:ascii="宋体" w:hAnsi="宋体" w:cs="仿宋"/>
          <w:color w:val="auto"/>
          <w:sz w:val="24"/>
        </w:rPr>
        <w:t>5.</w:t>
      </w:r>
      <w:r>
        <w:rPr>
          <w:rFonts w:hint="eastAsia" w:ascii="宋体" w:hAnsi="宋体" w:cs="仿宋"/>
          <w:color w:val="auto"/>
          <w:sz w:val="24"/>
          <w:lang w:val="en-US" w:eastAsia="zh-CN"/>
        </w:rPr>
        <w:t>6</w:t>
      </w:r>
      <w:r>
        <w:rPr>
          <w:rFonts w:hint="eastAsia" w:ascii="宋体" w:hAnsi="宋体" w:cs="仿宋"/>
          <w:color w:val="auto"/>
          <w:sz w:val="24"/>
        </w:rPr>
        <w:t>.1 投标产品属于政府强制采购节能产品的，投标人应当选择《节能产品政府采购清单》中的产品投标，并提供有效的节能产品认证证书复印件。本次投标产品型号如列入最新一期（节能清单在标书发布之日后公布的，同时执行上期和本期节能清单）节能产品政府采购清单内型号（投标产品型号和节能清单型号须完全一致）。施行强制采购的产品如无证明材料，投标无效；非强制采购产品无证明材料，不予认定。政府强制采购节能产品以最新一期节能产品政府采购清单中标注"</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仿宋"/>
          <w:color w:val="auto"/>
          <w:sz w:val="24"/>
        </w:rPr>
        <w:t>"的产品为准。</w:t>
      </w:r>
      <w:r>
        <w:rPr>
          <w:rFonts w:hint="eastAsia" w:ascii="宋体" w:hAnsi="宋体" w:cs="仿宋"/>
          <w:color w:val="auto"/>
          <w:sz w:val="24"/>
        </w:rPr>
        <w:br w:type="textWrapping"/>
      </w:r>
      <w:r>
        <w:rPr>
          <w:rFonts w:hint="eastAsia" w:ascii="宋体" w:hAnsi="宋体" w:cs="仿宋"/>
          <w:color w:val="auto"/>
          <w:sz w:val="24"/>
        </w:rPr>
        <w:t xml:space="preserve">    5.</w:t>
      </w:r>
      <w:r>
        <w:rPr>
          <w:rFonts w:hint="eastAsia" w:ascii="宋体" w:hAnsi="宋体" w:cs="仿宋"/>
          <w:color w:val="auto"/>
          <w:sz w:val="24"/>
          <w:lang w:val="en-US" w:eastAsia="zh-CN"/>
        </w:rPr>
        <w:t>6</w:t>
      </w:r>
      <w:r>
        <w:rPr>
          <w:rFonts w:hint="eastAsia" w:ascii="宋体" w:hAnsi="宋体" w:cs="仿宋"/>
          <w:color w:val="auto"/>
          <w:sz w:val="24"/>
        </w:rPr>
        <w:t>.2 本次投标产品型号如为列入最新一期（环保清单在标书发布之日后公布的，同时执行上期和本期环保清单）环境标志产品政府采购清单内型号，投标人须在投标文件中提供有效的环保产品认证证书复印件，否则不予认定。</w:t>
      </w:r>
    </w:p>
    <w:p>
      <w:pPr>
        <w:spacing w:line="360" w:lineRule="auto"/>
        <w:rPr>
          <w:rFonts w:ascii="宋体" w:hAnsi="宋体" w:cs="仿宋"/>
          <w:b/>
          <w:bCs/>
          <w:color w:val="auto"/>
          <w:sz w:val="24"/>
          <w:szCs w:val="24"/>
        </w:rPr>
      </w:pPr>
      <w:r>
        <w:rPr>
          <w:rFonts w:hint="eastAsia" w:ascii="宋体" w:hAnsi="宋体" w:cs="仿宋"/>
          <w:b/>
          <w:bCs/>
          <w:color w:val="auto"/>
          <w:sz w:val="24"/>
          <w:szCs w:val="24"/>
        </w:rPr>
        <w:t>6、注意事项</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如果没有特别声明或要求，供应商被视为充分熟悉本谈判项目所在地与履行合同有关的各种情况，包括自然环境、气候条件、劳动力及公用设施等，本竞争性谈判文件不再对上述情况进行描述。</w:t>
      </w:r>
    </w:p>
    <w:p>
      <w:pPr>
        <w:spacing w:line="360" w:lineRule="auto"/>
        <w:ind w:firstLine="590" w:firstLineChars="245"/>
        <w:jc w:val="center"/>
        <w:rPr>
          <w:rFonts w:ascii="宋体" w:hAnsi="宋体" w:cs="宋体"/>
          <w:b/>
          <w:color w:val="auto"/>
          <w:sz w:val="24"/>
        </w:rPr>
      </w:pPr>
      <w:bookmarkStart w:id="6" w:name="_Toc246826107"/>
      <w:r>
        <w:rPr>
          <w:rFonts w:hint="eastAsia" w:ascii="宋体" w:hAnsi="宋体" w:cs="黑体"/>
          <w:b/>
          <w:color w:val="auto"/>
          <w:sz w:val="24"/>
        </w:rPr>
        <w:t>二、</w:t>
      </w:r>
      <w:bookmarkEnd w:id="6"/>
      <w:r>
        <w:rPr>
          <w:rFonts w:hint="eastAsia" w:ascii="宋体" w:hAnsi="宋体" w:cs="黑体"/>
          <w:b/>
          <w:color w:val="auto"/>
          <w:sz w:val="24"/>
        </w:rPr>
        <w:t>竞争性谈判文件</w:t>
      </w:r>
    </w:p>
    <w:p>
      <w:pPr>
        <w:spacing w:line="360" w:lineRule="auto"/>
        <w:ind w:firstLine="561"/>
        <w:outlineLvl w:val="1"/>
        <w:rPr>
          <w:rFonts w:ascii="宋体" w:hAnsi="宋体" w:cs="宋体"/>
          <w:color w:val="auto"/>
          <w:sz w:val="24"/>
        </w:rPr>
      </w:pPr>
    </w:p>
    <w:p>
      <w:pPr>
        <w:spacing w:line="360" w:lineRule="auto"/>
        <w:rPr>
          <w:rFonts w:ascii="宋体" w:hAnsi="宋体" w:cs="仿宋"/>
          <w:b/>
          <w:bCs/>
          <w:color w:val="auto"/>
          <w:sz w:val="24"/>
          <w:szCs w:val="24"/>
        </w:rPr>
      </w:pPr>
      <w:r>
        <w:rPr>
          <w:rFonts w:hint="eastAsia" w:ascii="宋体" w:hAnsi="宋体" w:cs="仿宋"/>
          <w:b/>
          <w:bCs/>
          <w:color w:val="auto"/>
          <w:sz w:val="24"/>
          <w:szCs w:val="24"/>
        </w:rPr>
        <w:t>7.竞争性谈判文件的组成</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7.1竞争性谈判文件用以阐明供应商准备响应文件所必须的信息，以及谈判、开标、评审和签订合同等有关规定。竞争性谈判文件由下述部分组成：</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（1）谈判邀请</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2</w:t>
      </w:r>
      <w:r>
        <w:rPr>
          <w:rFonts w:hint="eastAsia" w:ascii="宋体" w:hAnsi="宋体" w:cs="仿宋"/>
          <w:color w:val="auto"/>
          <w:sz w:val="24"/>
          <w:szCs w:val="24"/>
        </w:rPr>
        <w:t>）谈判须知</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）采购需求</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（4）合同文本</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（5）报价</w:t>
      </w:r>
      <w:r>
        <w:rPr>
          <w:rFonts w:ascii="宋体" w:hAnsi="宋体" w:cs="仿宋"/>
          <w:color w:val="auto"/>
          <w:sz w:val="24"/>
          <w:szCs w:val="24"/>
        </w:rPr>
        <w:t>内容和格式</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（6）评审办法</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7.2 谈判供应商应详细阅读竞争性谈判文件的全部内容。如果谈判供应商没有按照竞争性谈判文件要求提交全部资料或者没有对竞争性谈判文件在各方面的要求都做出实质性响应，可能导致其谈判被拒绝。</w:t>
      </w:r>
    </w:p>
    <w:p>
      <w:pPr>
        <w:spacing w:line="360" w:lineRule="auto"/>
        <w:rPr>
          <w:rFonts w:ascii="宋体" w:hAnsi="宋体" w:cs="仿宋"/>
          <w:b/>
          <w:bCs/>
          <w:color w:val="auto"/>
          <w:sz w:val="24"/>
          <w:szCs w:val="24"/>
        </w:rPr>
      </w:pPr>
      <w:bookmarkStart w:id="7" w:name="_Toc183682348"/>
      <w:bookmarkStart w:id="8" w:name="_Toc183582211"/>
      <w:bookmarkStart w:id="9" w:name="_Toc217446040"/>
      <w:r>
        <w:rPr>
          <w:rFonts w:hint="eastAsia" w:ascii="宋体" w:hAnsi="宋体" w:cs="仿宋"/>
          <w:b/>
          <w:bCs/>
          <w:color w:val="auto"/>
          <w:sz w:val="24"/>
          <w:szCs w:val="24"/>
        </w:rPr>
        <w:t>8.竞争性谈判文件的澄清</w:t>
      </w:r>
      <w:bookmarkEnd w:id="7"/>
      <w:bookmarkEnd w:id="8"/>
      <w:r>
        <w:rPr>
          <w:rFonts w:hint="eastAsia" w:ascii="宋体" w:hAnsi="宋体" w:cs="仿宋"/>
          <w:b/>
          <w:bCs/>
          <w:color w:val="auto"/>
          <w:sz w:val="24"/>
          <w:szCs w:val="24"/>
        </w:rPr>
        <w:t>和修改</w:t>
      </w:r>
      <w:bookmarkEnd w:id="9"/>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8.1 在谈判截止时间前，采购代理机构无论出于何种原因，可以对竞争性谈判文件进行必要的补遗、澄清或修改。</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8.2</w:t>
      </w:r>
      <w:bookmarkStart w:id="10" w:name="_Toc430490613"/>
      <w:bookmarkStart w:id="11" w:name="_Toc430489120"/>
      <w:bookmarkStart w:id="12" w:name="_Toc430492127"/>
      <w:bookmarkStart w:id="13" w:name="_Toc430488852"/>
      <w:bookmarkStart w:id="14" w:name="_Toc415567498"/>
      <w:bookmarkStart w:id="15" w:name="_Toc430488645"/>
      <w:bookmarkStart w:id="16" w:name="_Toc430422414"/>
      <w:r>
        <w:rPr>
          <w:rFonts w:hint="eastAsia" w:ascii="宋体" w:hAnsi="宋体" w:cs="仿宋"/>
          <w:color w:val="auto"/>
          <w:sz w:val="24"/>
          <w:szCs w:val="24"/>
        </w:rPr>
        <w:t xml:space="preserve"> 竞争性谈判文件的</w:t>
      </w:r>
      <w:bookmarkEnd w:id="10"/>
      <w:bookmarkEnd w:id="11"/>
      <w:bookmarkEnd w:id="12"/>
      <w:bookmarkEnd w:id="13"/>
      <w:bookmarkEnd w:id="14"/>
      <w:bookmarkEnd w:id="15"/>
      <w:bookmarkEnd w:id="16"/>
      <w:r>
        <w:rPr>
          <w:rFonts w:hint="eastAsia" w:ascii="宋体" w:hAnsi="宋体" w:cs="仿宋"/>
          <w:color w:val="auto"/>
          <w:sz w:val="24"/>
          <w:szCs w:val="24"/>
        </w:rPr>
        <w:t>补遗、澄清或修改</w:t>
      </w:r>
    </w:p>
    <w:p>
      <w:pPr>
        <w:spacing w:line="360" w:lineRule="auto"/>
        <w:ind w:firstLine="480" w:firstLineChars="200"/>
        <w:rPr>
          <w:rFonts w:ascii="宋体" w:hAnsi="宋体" w:cs="仿宋"/>
          <w:color w:val="auto"/>
          <w:sz w:val="24"/>
          <w:szCs w:val="24"/>
        </w:rPr>
      </w:pPr>
      <w:bookmarkStart w:id="17" w:name="OLE_LINK5"/>
      <w:bookmarkStart w:id="18" w:name="_Toc208848971"/>
      <w:bookmarkStart w:id="19" w:name="_Toc217446041"/>
      <w:r>
        <w:rPr>
          <w:rFonts w:hint="eastAsia" w:ascii="宋体" w:hAnsi="宋体" w:cs="仿宋"/>
          <w:color w:val="auto"/>
          <w:sz w:val="24"/>
          <w:szCs w:val="24"/>
        </w:rPr>
        <w:t>（</w:t>
      </w:r>
      <w:bookmarkStart w:id="20" w:name="OLE_LINK4"/>
      <w:r>
        <w:rPr>
          <w:rFonts w:hint="eastAsia" w:ascii="宋体" w:hAnsi="宋体" w:cs="仿宋"/>
          <w:color w:val="auto"/>
          <w:sz w:val="24"/>
          <w:szCs w:val="24"/>
        </w:rPr>
        <w:t>1）在提交首次响应文件截止之日前，采购人、采购代理机构无论出于何种原因，可以对竞争性谈判文件进行必要的补遗、澄清或修改；补遗、澄清或修改内容可能影响响应文件编制的，</w:t>
      </w:r>
      <w:bookmarkStart w:id="21" w:name="OLE_LINK3"/>
      <w:r>
        <w:rPr>
          <w:rFonts w:hint="eastAsia" w:ascii="宋体" w:hAnsi="宋体" w:cs="仿宋"/>
          <w:color w:val="auto"/>
          <w:sz w:val="24"/>
          <w:szCs w:val="24"/>
        </w:rPr>
        <w:t>采购代理机构</w:t>
      </w:r>
      <w:bookmarkEnd w:id="21"/>
      <w:r>
        <w:rPr>
          <w:rFonts w:hint="eastAsia" w:ascii="宋体" w:hAnsi="宋体" w:cs="仿宋"/>
          <w:color w:val="auto"/>
          <w:sz w:val="24"/>
          <w:szCs w:val="24"/>
        </w:rPr>
        <w:t>须在首次递交响应文件截止之日3个工作日前，发布公告或以书面形式通知所有获取竞争性谈判文件的潜在供应商；不足3个工作日的，采购代理机构应当顺延首次递交响应文件和谈判时间，在此情况下，采购当事人受首次递交响应文件截止期制约的所有权利和义务均应延长至新的截止日期；</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2）澄清或修改后的内容是竞争性谈判文件的组成部分，并对潜在供应商具有约束力。有关本项目竞争性谈判文件的澄清及变更信息以第一章指定网站公告及下载内容为准，采购代理机构不再另行通知，潜在供应商须及时关注关于本项目采购信息的更新事项，否则自行承担由此产生的风险。竞争性谈判文件与更正公告的内容相互矛盾时，以最后发出的更正公告为准。</w:t>
      </w:r>
      <w:bookmarkEnd w:id="17"/>
      <w:bookmarkEnd w:id="20"/>
    </w:p>
    <w:p>
      <w:pPr>
        <w:spacing w:line="360" w:lineRule="auto"/>
        <w:rPr>
          <w:rFonts w:ascii="宋体" w:hAnsi="宋体" w:cs="仿宋"/>
          <w:b/>
          <w:bCs/>
          <w:color w:val="auto"/>
          <w:sz w:val="24"/>
          <w:szCs w:val="24"/>
        </w:rPr>
      </w:pPr>
      <w:r>
        <w:rPr>
          <w:rFonts w:hint="eastAsia" w:ascii="宋体" w:hAnsi="宋体" w:cs="仿宋"/>
          <w:b/>
          <w:bCs/>
          <w:color w:val="auto"/>
          <w:sz w:val="24"/>
          <w:szCs w:val="24"/>
        </w:rPr>
        <w:t>9.其他</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9.1标前答疑会和现场</w:t>
      </w:r>
      <w:bookmarkEnd w:id="18"/>
      <w:bookmarkEnd w:id="19"/>
      <w:r>
        <w:rPr>
          <w:rFonts w:hint="eastAsia" w:ascii="宋体" w:hAnsi="宋体" w:cs="仿宋"/>
          <w:color w:val="auto"/>
          <w:sz w:val="24"/>
          <w:szCs w:val="24"/>
        </w:rPr>
        <w:t>踏勘</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9.1.1供应商须知前附表规定组织答疑会或/和现场踏勘的，采购代理机构按供应商须知前附表规定的时间、地点组织答疑会或/和供应商踏勘项目现场，供应商如不参加的，其风险由供应商自行承担，采购代理机构不承担任何责任。采购代理机构不组织踏勘现场的，供应商可以自行决定是否踏勘现场。</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9.1.2答疑会上，采购代理机构或/和采购人将解答供应商的疑问。</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9.1.3采购代理机构或/和采购人在踏勘现场中口头介绍的情况（如有），供供应商在编制响应文件时参考，采购代理机构或/和采购人不对供应商据此作出的判断和决策负责。</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9.1.4采购代理机构不单独或者分别组织只有1个供应商参加的现场考察。</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9.1.5供应商自行承担参加答疑或现场考察所发生的一切费用。</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9.2述标和/或产（样）品演（展）示</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具体要求详见第三章“采购需求”和/或“供应商须知前附表”有关规定。</w:t>
      </w:r>
    </w:p>
    <w:p>
      <w:pPr>
        <w:spacing w:line="360" w:lineRule="auto"/>
        <w:ind w:firstLine="480" w:firstLineChars="200"/>
        <w:rPr>
          <w:rFonts w:ascii="宋体" w:hAnsi="宋体" w:cs="仿宋"/>
          <w:color w:val="auto"/>
          <w:sz w:val="24"/>
          <w:szCs w:val="24"/>
        </w:rPr>
      </w:pPr>
    </w:p>
    <w:p>
      <w:pPr>
        <w:numPr>
          <w:ilvl w:val="0"/>
          <w:numId w:val="2"/>
        </w:numPr>
        <w:spacing w:line="360" w:lineRule="auto"/>
        <w:ind w:firstLine="561"/>
        <w:jc w:val="center"/>
        <w:outlineLvl w:val="1"/>
        <w:rPr>
          <w:rFonts w:ascii="宋体" w:hAnsi="宋体" w:cs="黑体"/>
          <w:b/>
          <w:color w:val="auto"/>
          <w:sz w:val="24"/>
        </w:rPr>
      </w:pPr>
      <w:bookmarkStart w:id="22" w:name="_Toc1660487"/>
      <w:bookmarkStart w:id="23" w:name="_Toc246826110"/>
      <w:r>
        <w:rPr>
          <w:rFonts w:hint="eastAsia" w:ascii="宋体" w:hAnsi="宋体" w:cs="黑体"/>
          <w:b/>
          <w:color w:val="auto"/>
          <w:sz w:val="24"/>
        </w:rPr>
        <w:t>响应文件</w:t>
      </w:r>
      <w:bookmarkEnd w:id="22"/>
      <w:bookmarkEnd w:id="23"/>
    </w:p>
    <w:p>
      <w:pPr>
        <w:spacing w:line="360" w:lineRule="auto"/>
        <w:outlineLvl w:val="1"/>
        <w:rPr>
          <w:rFonts w:ascii="宋体" w:hAnsi="宋体" w:cs="仿宋"/>
          <w:b/>
          <w:color w:val="auto"/>
          <w:sz w:val="24"/>
          <w:szCs w:val="24"/>
        </w:rPr>
      </w:pPr>
    </w:p>
    <w:p>
      <w:pPr>
        <w:pStyle w:val="94"/>
        <w:spacing w:line="360" w:lineRule="auto"/>
        <w:ind w:firstLine="0" w:firstLineChars="0"/>
        <w:rPr>
          <w:rFonts w:ascii="宋体" w:hAnsi="宋体" w:cs="仿宋"/>
          <w:b/>
          <w:bCs/>
          <w:color w:val="auto"/>
          <w:sz w:val="24"/>
          <w:szCs w:val="24"/>
        </w:rPr>
      </w:pPr>
      <w:r>
        <w:rPr>
          <w:rFonts w:hint="eastAsia" w:ascii="宋体" w:hAnsi="宋体" w:cs="仿宋"/>
          <w:b/>
          <w:bCs/>
          <w:color w:val="auto"/>
          <w:sz w:val="24"/>
          <w:szCs w:val="24"/>
        </w:rPr>
        <w:t>10.响应文件的语言和计量单位</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10.1 供应商提交的响应文件（包括技术文件和资料、图纸中的说明）以及供应商与采购人或采购代理机构就有关响应的所有来往函电均应使用中文简体字。原版为外文的证书类文件，以及由外国人作出的本人签名、外国公司的名称或外国印章等可以是外文，但应当提供中文翻译文件（可以是复印件）并加盖供应商公章。原版为外文的证书类、证明类文件，与供应商名称或其他实际情况不符的，供应商应当提供相关证明文件。</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10.2计量单位：除技术规格及要求中另有规定外，本采购项下的响应均采用国家法定的计量单位。</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10.3货币单位：本次采购项目的响应均以人民币报价。</w:t>
      </w:r>
    </w:p>
    <w:p>
      <w:pPr>
        <w:pStyle w:val="94"/>
        <w:spacing w:line="360" w:lineRule="auto"/>
        <w:ind w:firstLine="0" w:firstLineChars="0"/>
        <w:rPr>
          <w:rFonts w:ascii="宋体" w:hAnsi="宋体" w:cs="仿宋"/>
          <w:b/>
          <w:bCs/>
          <w:color w:val="auto"/>
          <w:sz w:val="24"/>
          <w:szCs w:val="24"/>
        </w:rPr>
      </w:pPr>
      <w:r>
        <w:rPr>
          <w:rFonts w:hint="eastAsia" w:ascii="宋体" w:hAnsi="宋体" w:cs="仿宋"/>
          <w:b/>
          <w:bCs/>
          <w:color w:val="auto"/>
          <w:sz w:val="24"/>
          <w:szCs w:val="24"/>
        </w:rPr>
        <w:t>11.知识产权</w:t>
      </w:r>
    </w:p>
    <w:p>
      <w:pPr>
        <w:pStyle w:val="3"/>
        <w:spacing w:line="360" w:lineRule="auto"/>
        <w:ind w:left="0" w:firstLine="480" w:firstLineChars="200"/>
        <w:rPr>
          <w:rFonts w:ascii="宋体" w:hAnsi="宋体" w:cs="仿宋"/>
          <w:color w:val="auto"/>
          <w:szCs w:val="24"/>
        </w:rPr>
      </w:pPr>
      <w:r>
        <w:rPr>
          <w:rFonts w:hint="eastAsia" w:ascii="宋体" w:hAnsi="宋体" w:cs="仿宋"/>
          <w:color w:val="auto"/>
          <w:szCs w:val="24"/>
        </w:rPr>
        <w:t>11.1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3"/>
        <w:spacing w:line="360" w:lineRule="auto"/>
        <w:ind w:left="0" w:firstLine="480" w:firstLineChars="200"/>
        <w:rPr>
          <w:rFonts w:ascii="宋体" w:hAnsi="宋体" w:cs="仿宋"/>
          <w:color w:val="auto"/>
          <w:szCs w:val="24"/>
        </w:rPr>
      </w:pPr>
      <w:r>
        <w:rPr>
          <w:rFonts w:hint="eastAsia" w:ascii="宋体" w:hAnsi="宋体" w:cs="仿宋"/>
          <w:color w:val="auto"/>
          <w:szCs w:val="24"/>
        </w:rPr>
        <w:t>11.2 采购人享有本项目实施过程中产生的知识成果及知识产权。</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11.3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 xml:space="preserve">11.4 如采用供应商所不拥有的知识产权，则在报价中必须包括合法获取该知识产权的相关费用。 </w:t>
      </w:r>
    </w:p>
    <w:p>
      <w:pPr>
        <w:pStyle w:val="94"/>
        <w:spacing w:line="360" w:lineRule="auto"/>
        <w:ind w:firstLine="0" w:firstLineChars="0"/>
        <w:rPr>
          <w:rFonts w:ascii="宋体" w:hAnsi="宋体" w:cs="仿宋"/>
          <w:b/>
          <w:bCs/>
          <w:color w:val="auto"/>
          <w:sz w:val="24"/>
          <w:szCs w:val="24"/>
        </w:rPr>
      </w:pPr>
      <w:r>
        <w:rPr>
          <w:rFonts w:hint="eastAsia" w:ascii="宋体" w:hAnsi="宋体" w:cs="仿宋"/>
          <w:b/>
          <w:bCs/>
          <w:color w:val="auto"/>
          <w:sz w:val="24"/>
          <w:szCs w:val="24"/>
        </w:rPr>
        <w:t>12.响应文件要求</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12.1响应文件分为商务部分和技术部分。响应文件须对竞争性谈判文件中的内容做出实质性和完整的响应，如果响应文件填报的内容资料不详，或没有提供竞争性谈判文件中所要求的全部资料及数据，将被视为响应文件完整性有缺陷。</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12.2技术部分指供应商提交的能够证明供应商提供的货物及服务符合竞争性谈判文件规定的文件，这些文件可以是但不限于文字资料、图纸和数据等。商务部分指供应商提交的证明其有资格参加响应和成交后有能力履行合同的文件，这些文件可以是但不限于文字资料、证书复印件和数据报表等。</w:t>
      </w:r>
    </w:p>
    <w:p>
      <w:pPr>
        <w:pStyle w:val="94"/>
        <w:spacing w:line="360" w:lineRule="auto"/>
        <w:ind w:firstLine="0" w:firstLineChars="0"/>
        <w:rPr>
          <w:rFonts w:ascii="宋体" w:hAnsi="宋体" w:cs="仿宋"/>
          <w:b/>
          <w:bCs/>
          <w:color w:val="auto"/>
          <w:sz w:val="24"/>
          <w:szCs w:val="24"/>
        </w:rPr>
      </w:pPr>
      <w:r>
        <w:rPr>
          <w:rFonts w:hint="eastAsia" w:ascii="宋体" w:hAnsi="宋体" w:cs="仿宋"/>
          <w:b/>
          <w:bCs/>
          <w:color w:val="auto"/>
          <w:sz w:val="24"/>
          <w:szCs w:val="24"/>
        </w:rPr>
        <w:t>13.响应文件编写</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13.1按照竞争性谈判文件中</w:t>
      </w:r>
      <w:r>
        <w:rPr>
          <w:rFonts w:hint="eastAsia" w:ascii="宋体" w:hAnsi="宋体" w:cs="仿宋"/>
          <w:bCs/>
          <w:color w:val="auto"/>
          <w:sz w:val="24"/>
          <w:szCs w:val="24"/>
        </w:rPr>
        <w:t>第五章</w:t>
      </w:r>
      <w:r>
        <w:rPr>
          <w:rFonts w:hint="eastAsia" w:ascii="宋体" w:hAnsi="宋体" w:cs="仿宋"/>
          <w:color w:val="auto"/>
          <w:sz w:val="24"/>
          <w:szCs w:val="24"/>
        </w:rPr>
        <w:t>对响应材料格式部分规定的顺序，统一编目编码并编制目录，响应文件应装订牢固不可拆卸（如：胶订）。由于编排混乱导致响应文件被误读或查找不到，责任应当由供应商承担。</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13.2除非另有规定，第三章“采购需求”中如有分包号的，供应商可对所列的全部包号或部分包号进行响应，评标与授标以包为单位。同一包号内所有采购内容响应时必须完整无缺项，响应文件必须按每个包号的要求分别编制、装订和封装，否则视为不合格供应商。</w:t>
      </w:r>
    </w:p>
    <w:p>
      <w:pPr>
        <w:spacing w:line="360" w:lineRule="auto"/>
        <w:ind w:firstLine="480" w:firstLineChars="200"/>
        <w:outlineLvl w:val="1"/>
        <w:rPr>
          <w:rFonts w:ascii="宋体" w:hAnsi="宋体" w:cs="仿宋"/>
          <w:color w:val="auto"/>
          <w:sz w:val="24"/>
          <w:szCs w:val="24"/>
        </w:rPr>
      </w:pPr>
      <w:bookmarkStart w:id="24" w:name="_Toc1660488"/>
      <w:r>
        <w:rPr>
          <w:rFonts w:hint="eastAsia" w:ascii="宋体" w:hAnsi="宋体" w:cs="仿宋"/>
          <w:color w:val="auto"/>
          <w:sz w:val="24"/>
          <w:szCs w:val="24"/>
        </w:rPr>
        <w:t>13.3供应商根据竞争性谈判文件载明的采购项目实际情况，拟在成交后将成交项目的非主体、非关键性工作交由他人完成的，应当在响应文件中载明分包承担主体、分包承担主体应当具备相应资质条件且不得再次分包。小型、微型企业不得分包或者转包给大型、中型企业，中型企业不得分包或者转包给大型企业。</w:t>
      </w:r>
      <w:bookmarkEnd w:id="24"/>
    </w:p>
    <w:p>
      <w:pPr>
        <w:pStyle w:val="94"/>
        <w:spacing w:line="360" w:lineRule="auto"/>
        <w:ind w:firstLine="0" w:firstLineChars="0"/>
        <w:rPr>
          <w:rFonts w:ascii="宋体" w:hAnsi="宋体" w:cs="仿宋"/>
          <w:b/>
          <w:bCs/>
          <w:color w:val="auto"/>
          <w:sz w:val="24"/>
          <w:szCs w:val="24"/>
        </w:rPr>
      </w:pPr>
      <w:r>
        <w:rPr>
          <w:rFonts w:hint="eastAsia" w:ascii="宋体" w:hAnsi="宋体" w:cs="仿宋"/>
          <w:b/>
          <w:bCs/>
          <w:color w:val="auto"/>
          <w:sz w:val="24"/>
          <w:szCs w:val="24"/>
        </w:rPr>
        <w:t>14.响应报价</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14.1 响应报价要求</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14.1.1所有响应报价均以人民币元为计算单位。只要投报了一个确定数额的总价，无论分项价格是否全部填报了相应的金额或免费字样，报价应被视为已经包含了但并不限于各项购买货物及其保管、运送、安装、调试、验收、保险和相关服务等的费用和所需缴纳的所有价格、税、费。在其他情况下，由于分项报价填报不完整、不清楚或存在其他任何失误，所导致的任何不利后果均应当由供应商自行承担。</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14.1.2供应商投报多包的，应对每包分别报价并分别填报开标一览表。</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14.1.3供应商应按第五章分项报价明细表的内容填写服务内容、总价及其他事项。开标一览表中价格填报处不应有空白，如无费用可填报“/”。</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14.1.4供应商对响应报价若有说明应在开标一览表显著处注明，只有开标时唱出的报价和优惠才会在评标时予以考虑。开标一览表须单独密封递交。</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14.1.5响应的报价优惠应对应开标一览表、响应报价明细表等提供相应的明细清单。除报价优惠外，任何超出竞争性谈判文件要求而额外赠送的货物、免费培训等其他形式的优惠，在评审时将不具有竞争优势。</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14.1.6对于有分项及特殊需求的服务内容，应由供应商自行设计相关格式。供应商按照上述要求分类报价，其目的是便于评标，但在任何情况下并不限制采购代理机构或采购人以其他条款签订合同的权利。</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14.2最低报价不能作为成交的保证。</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14.3 响应文件报价出现前后不一致的，按照下列规定修正：</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 xml:space="preserve">（1）响应文件中开标一览表内容与竞争性谈判文件中相应内容不一致的，以开标一览表为准； </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（2）大写金额和小写金额不一致的，以大写金额为准；</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（3）单价金额小数点或者百分比有明显错位的，以开标一览表的总价为准，并修改单价；</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（4）总价金额与按单价汇总金额不一致的，以单价金额计算结果为准。</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同时出现两种以上不一致的，按照前款规定的顺序修正。修正后的报价按照24.8条的规定经供应商确认后产生约束力，供应商不确认的，其响应无效。</w:t>
      </w:r>
    </w:p>
    <w:p>
      <w:pPr>
        <w:spacing w:line="360" w:lineRule="auto"/>
        <w:rPr>
          <w:rFonts w:ascii="宋体" w:hAnsi="宋体" w:cs="仿宋"/>
          <w:b/>
          <w:bCs/>
          <w:color w:val="auto"/>
          <w:sz w:val="24"/>
          <w:szCs w:val="24"/>
        </w:rPr>
      </w:pPr>
      <w:r>
        <w:rPr>
          <w:rFonts w:hint="eastAsia" w:ascii="宋体" w:hAnsi="宋体" w:cs="仿宋"/>
          <w:b/>
          <w:bCs/>
          <w:color w:val="auto"/>
          <w:sz w:val="24"/>
          <w:szCs w:val="24"/>
        </w:rPr>
        <w:t>15.谈判保证金</w:t>
      </w:r>
    </w:p>
    <w:p>
      <w:pPr>
        <w:spacing w:line="360" w:lineRule="auto"/>
        <w:ind w:firstLine="470" w:firstLineChars="196"/>
        <w:rPr>
          <w:rFonts w:ascii="宋体" w:hAnsi="宋体" w:cs="仿宋"/>
          <w:color w:val="auto"/>
          <w:sz w:val="24"/>
          <w:szCs w:val="24"/>
        </w:rPr>
      </w:pPr>
      <w:r>
        <w:rPr>
          <w:rFonts w:hint="eastAsia" w:ascii="宋体" w:hAnsi="宋体" w:cs="仿宋"/>
          <w:color w:val="auto"/>
          <w:sz w:val="24"/>
          <w:szCs w:val="24"/>
        </w:rPr>
        <w:t>15.1 谈判保证金为响应文件的组成部分之一，谈判保证金用于保护本次采购活动免受供应商的行为而引起的风险。供应商缴纳保证金时必须注明：</w:t>
      </w:r>
      <w:r>
        <w:rPr>
          <w:rFonts w:hint="eastAsia" w:ascii="宋体" w:hAnsi="宋体" w:cs="仿宋"/>
          <w:color w:val="auto"/>
          <w:sz w:val="24"/>
          <w:szCs w:val="24"/>
          <w:lang w:eastAsia="zh-CN"/>
        </w:rPr>
        <w:t>HNZC2023-ZB-055</w:t>
      </w:r>
      <w:r>
        <w:rPr>
          <w:rFonts w:hint="eastAsia" w:ascii="宋体" w:hAnsi="宋体"/>
          <w:color w:val="auto"/>
          <w:kern w:val="28"/>
          <w:sz w:val="24"/>
        </w:rPr>
        <w:t>保证金，否则视为无效投标。</w:t>
      </w:r>
    </w:p>
    <w:p>
      <w:pPr>
        <w:pStyle w:val="11"/>
        <w:spacing w:line="360" w:lineRule="auto"/>
        <w:rPr>
          <w:rFonts w:ascii="宋体" w:hAnsi="宋体" w:cs="仿宋"/>
          <w:color w:val="auto"/>
          <w:sz w:val="24"/>
          <w:szCs w:val="24"/>
        </w:rPr>
      </w:pPr>
      <w:r>
        <w:rPr>
          <w:rFonts w:hint="eastAsia" w:ascii="宋体" w:hAnsi="宋体" w:cs="仿宋"/>
          <w:color w:val="auto"/>
          <w:sz w:val="24"/>
          <w:szCs w:val="24"/>
        </w:rPr>
        <w:t xml:space="preserve">    15.2采购人或采购代理机构应当自成交通知书发出之日起5个工作日内退还未成交供应商的谈判保证金，自签订合同之日起5个工作日内退还成交供应商的谈判保证金或者转化为成交供应商的履约保证金。由于供应商的自身原因未及时办理谈判保证金退还的，其责任和由此造成的后果由供应商自行承担。</w:t>
      </w:r>
    </w:p>
    <w:p>
      <w:pPr>
        <w:spacing w:line="360" w:lineRule="auto"/>
        <w:ind w:firstLine="470" w:firstLineChars="196"/>
        <w:rPr>
          <w:rFonts w:ascii="宋体" w:hAnsi="宋体" w:cs="仿宋"/>
          <w:color w:val="auto"/>
          <w:sz w:val="24"/>
          <w:szCs w:val="24"/>
        </w:rPr>
      </w:pPr>
      <w:r>
        <w:rPr>
          <w:rFonts w:hint="eastAsia" w:ascii="宋体" w:hAnsi="宋体" w:cs="仿宋"/>
          <w:color w:val="auto"/>
          <w:sz w:val="24"/>
          <w:szCs w:val="24"/>
        </w:rPr>
        <w:t>15.3谈判保证金的有效期与响应有效期一致，否则视为无效响应。</w:t>
      </w:r>
    </w:p>
    <w:p>
      <w:pPr>
        <w:spacing w:line="360" w:lineRule="auto"/>
        <w:ind w:firstLine="470" w:firstLineChars="196"/>
        <w:rPr>
          <w:rFonts w:ascii="宋体" w:hAnsi="宋体" w:cs="仿宋"/>
          <w:color w:val="auto"/>
          <w:sz w:val="24"/>
          <w:szCs w:val="24"/>
        </w:rPr>
      </w:pPr>
      <w:r>
        <w:rPr>
          <w:rFonts w:hint="eastAsia" w:ascii="宋体" w:hAnsi="宋体" w:cs="仿宋"/>
          <w:color w:val="auto"/>
          <w:sz w:val="24"/>
          <w:szCs w:val="24"/>
        </w:rPr>
        <w:t>15.4供应商办理谈判保证金手续时，在“付款人”一栏中填写响应单位名称（须与购买竞争性谈判文件的单位名称一致，否则自行承担由此产生的风险）。</w:t>
      </w:r>
    </w:p>
    <w:p>
      <w:pPr>
        <w:spacing w:line="360" w:lineRule="auto"/>
        <w:ind w:firstLine="470" w:firstLineChars="196"/>
        <w:rPr>
          <w:rFonts w:ascii="宋体" w:hAnsi="宋体" w:cs="仿宋"/>
          <w:color w:val="auto"/>
          <w:sz w:val="24"/>
          <w:szCs w:val="24"/>
        </w:rPr>
      </w:pPr>
      <w:r>
        <w:rPr>
          <w:rFonts w:hint="eastAsia" w:ascii="宋体" w:hAnsi="宋体" w:cs="仿宋"/>
          <w:color w:val="auto"/>
          <w:sz w:val="24"/>
          <w:szCs w:val="24"/>
        </w:rPr>
        <w:t>15.5供应商在谈判截止时间前撤回已提交的响应文件的，采购代理机构应当自收到供应商书面撤回通知之日起5个工作日内，退还已收取的谈判保证金，但因供应商自身原因导致无法退还的除外。</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15.6发生以下情况之一的，谈判保证金可以不予退还：</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（1）在提交响应文件截止时间后撤回响应文件的；</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（2）在响应文件中提供虚假材料的；</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（3）除因不可抗力或竞争性谈判文件认可的情形以外，成交供应商不与采购人签订合同的；</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（4）供应商与采购人、其他供应商或者采购代理机构恶意串通的；</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（5）成交后不领取或者不接收成交通知书的；</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（6）由于成交供应商的原因未能按照竞争性谈判文件的规定交纳履约保证金的；</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（7）响应有效期内，供应商在政府采购活动中有违法、违规、违纪行为。</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（8）响应有效期内，供应商撤销响应文件的。</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上述不予退还谈判保证金的情况给采购代理机构造成损失的，还要承担赔偿责任。</w:t>
      </w:r>
    </w:p>
    <w:p>
      <w:pPr>
        <w:pStyle w:val="94"/>
        <w:spacing w:line="360" w:lineRule="auto"/>
        <w:ind w:firstLine="0" w:firstLineChars="0"/>
        <w:rPr>
          <w:rFonts w:ascii="宋体" w:hAnsi="宋体" w:cs="仿宋"/>
          <w:b/>
          <w:bCs/>
          <w:color w:val="auto"/>
          <w:sz w:val="24"/>
          <w:szCs w:val="24"/>
        </w:rPr>
      </w:pPr>
      <w:r>
        <w:rPr>
          <w:rFonts w:hint="eastAsia" w:ascii="宋体" w:hAnsi="宋体" w:cs="仿宋"/>
          <w:b/>
          <w:bCs/>
          <w:color w:val="auto"/>
          <w:sz w:val="24"/>
          <w:szCs w:val="24"/>
        </w:rPr>
        <w:t>16.响应文件的有效期</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16.1本项目响应文件的有效期详见供应商须知前附表第1</w:t>
      </w:r>
      <w:r>
        <w:rPr>
          <w:rFonts w:hint="eastAsia" w:ascii="宋体" w:hAnsi="宋体" w:cs="仿宋"/>
          <w:color w:val="auto"/>
          <w:sz w:val="24"/>
          <w:szCs w:val="24"/>
          <w:lang w:val="en-US" w:eastAsia="zh-CN"/>
        </w:rPr>
        <w:t>3</w:t>
      </w:r>
      <w:r>
        <w:rPr>
          <w:rFonts w:hint="eastAsia" w:ascii="宋体" w:hAnsi="宋体" w:cs="仿宋"/>
          <w:color w:val="auto"/>
          <w:sz w:val="24"/>
          <w:szCs w:val="24"/>
        </w:rPr>
        <w:t>条。有效期不足将导致其响应无效。响应截止时间后，供应商在响应有效期内不得撤销响应文件。</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 xml:space="preserve">16.2特殊情况下采购代理机构可于响应有效期满之前书面要求供应商同意延长有效期，供应商应在采购代理机构规定的期限内以书面形式予以答复，供应商答复不明确或者逾期未答复的，均视为拒绝上述要求。供应商拒绝上述要求的，其响应保证金可按规定予以退还。对于接受该要求的供应商，既不要求也不允许其修改响应文件，但将要求其相应延长响应保证金有效期，有关退还和不予退还响应保证金的规定在响应有效期延长期内继续有效。同意响应有效期延长的，供应商自行承担由此产生的费用；同意响应有效期延长的供应商不足三家的，予以废标。不同意延长响应有效期的，响应有效期满自动失效。 </w:t>
      </w:r>
    </w:p>
    <w:p>
      <w:pPr>
        <w:pStyle w:val="94"/>
        <w:spacing w:line="360" w:lineRule="auto"/>
        <w:ind w:firstLine="0" w:firstLineChars="0"/>
        <w:rPr>
          <w:rFonts w:ascii="宋体" w:hAnsi="宋体" w:cs="仿宋"/>
          <w:b/>
          <w:bCs/>
          <w:color w:val="auto"/>
          <w:sz w:val="24"/>
          <w:szCs w:val="24"/>
        </w:rPr>
      </w:pPr>
      <w:r>
        <w:rPr>
          <w:rFonts w:hint="eastAsia" w:ascii="宋体" w:hAnsi="宋体" w:cs="仿宋"/>
          <w:b/>
          <w:bCs/>
          <w:color w:val="auto"/>
          <w:sz w:val="24"/>
          <w:szCs w:val="24"/>
        </w:rPr>
        <w:t>17.响应文件的签署及其他规定</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17.1组成响应文件的各项文件均应遵守本条规定。</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17.2响应文件签署要求如下：</w:t>
      </w:r>
    </w:p>
    <w:p>
      <w:pPr>
        <w:pStyle w:val="94"/>
        <w:numPr>
          <w:ilvl w:val="0"/>
          <w:numId w:val="3"/>
        </w:numPr>
        <w:spacing w:line="360" w:lineRule="auto"/>
        <w:ind w:firstLine="480"/>
        <w:rPr>
          <w:rFonts w:ascii="宋体" w:hAnsi="宋体" w:cs="仿宋"/>
          <w:color w:val="auto"/>
          <w:sz w:val="24"/>
          <w:szCs w:val="24"/>
        </w:rPr>
      </w:pPr>
      <w:r>
        <w:rPr>
          <w:rFonts w:hint="eastAsia" w:ascii="宋体" w:hAnsi="宋体" w:cs="仿宋"/>
          <w:color w:val="auto"/>
          <w:sz w:val="24"/>
          <w:szCs w:val="24"/>
        </w:rPr>
        <w:t>响应文件所使用的印章必须为单位公章，且与供应商单位名称完全一致，不能以其它业务章或附属机构印章代替，否则视为无效响应文件；</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（2）响应文件如有改动，必须在改动之处加盖单位公章或响应代表签字（或盖名章）摁手印；</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17.3供应商应按照竞争性谈判文件第六章中提供的“响应文件格式”编制响应文件，如自有格式并按其格式编制的响应文件，其内容必须包含“响应文件格式”中所有的实质性内容并受其约束。</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17.4正本、副本必须打印装订，响应文件的正本须经法人代表/负责人或授权代表在规定处签字，并在规定处加盖公章，副本可以用正本的完整复印件，并在封面标明“正本”、“副本”字样。正本与副本如有不一致，则以正本为准。响应文件正本所加盖的供应商公章必须为鲜章，否则投标无效。</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17.5因响应文件字迹潦草或表达不清所引起的不利后果由供应商承担。</w:t>
      </w:r>
    </w:p>
    <w:p>
      <w:pPr>
        <w:spacing w:line="360" w:lineRule="auto"/>
        <w:rPr>
          <w:rFonts w:ascii="宋体" w:hAnsi="宋体" w:cs="仿宋"/>
          <w:b/>
          <w:color w:val="auto"/>
          <w:sz w:val="24"/>
          <w:szCs w:val="24"/>
        </w:rPr>
      </w:pPr>
      <w:r>
        <w:rPr>
          <w:rFonts w:hint="eastAsia" w:ascii="宋体" w:hAnsi="宋体" w:cs="仿宋"/>
          <w:b/>
          <w:color w:val="auto"/>
          <w:sz w:val="24"/>
          <w:szCs w:val="24"/>
        </w:rPr>
        <w:t>18.响应文件的密封和递交</w:t>
      </w:r>
    </w:p>
    <w:p>
      <w:pPr>
        <w:spacing w:before="120" w:after="240" w:line="360" w:lineRule="auto"/>
        <w:ind w:firstLine="480" w:firstLineChars="200"/>
        <w:jc w:val="left"/>
        <w:rPr>
          <w:rFonts w:ascii="宋体" w:hAnsi="宋体"/>
          <w:color w:val="auto"/>
          <w:sz w:val="24"/>
        </w:rPr>
      </w:pPr>
      <w:r>
        <w:rPr>
          <w:rFonts w:hint="eastAsia" w:ascii="宋体" w:hAnsi="宋体"/>
          <w:color w:val="auto"/>
          <w:sz w:val="24"/>
        </w:rPr>
        <w:t>18.1.1供应商应将响应文件正本和所有副本分别密封在两个专用袋（箱）中（正本一包，副本一包），电子文档单独密封，并在报价专用袋（箱）上标明“正本”、“副本”、“电子文档”“开标一览表”字样。正面封套标明（详见谈判须知前附表16.）</w:t>
      </w:r>
    </w:p>
    <w:p>
      <w:pPr>
        <w:spacing w:line="360" w:lineRule="auto"/>
        <w:ind w:firstLine="480" w:firstLineChars="200"/>
        <w:rPr>
          <w:rFonts w:ascii="宋体" w:hAnsi="宋体"/>
          <w:color w:val="auto"/>
          <w:sz w:val="24"/>
          <w:szCs w:val="22"/>
        </w:rPr>
      </w:pPr>
      <w:r>
        <w:rPr>
          <w:rFonts w:hint="eastAsia" w:ascii="宋体" w:hAnsi="宋体"/>
          <w:color w:val="auto"/>
          <w:sz w:val="24"/>
        </w:rPr>
        <w:t>18.1.2</w:t>
      </w:r>
      <w:r>
        <w:rPr>
          <w:rFonts w:hint="eastAsia" w:ascii="宋体" w:hAnsi="宋体"/>
          <w:color w:val="auto"/>
          <w:sz w:val="24"/>
          <w:szCs w:val="22"/>
        </w:rPr>
        <w:t>密封袋背面封口处上下两端粘贴“于</w:t>
      </w:r>
      <w:r>
        <w:rPr>
          <w:rFonts w:hint="eastAsia" w:ascii="宋体" w:hAnsi="宋体"/>
          <w:color w:val="auto"/>
          <w:sz w:val="24"/>
          <w:szCs w:val="22"/>
          <w:lang w:eastAsia="zh-CN"/>
        </w:rPr>
        <w:t>2023</w:t>
      </w:r>
      <w:r>
        <w:rPr>
          <w:rFonts w:hint="eastAsia" w:ascii="宋体" w:hAnsi="宋体"/>
          <w:color w:val="auto"/>
          <w:sz w:val="24"/>
          <w:szCs w:val="22"/>
        </w:rPr>
        <w:t xml:space="preserve"> 年</w:t>
      </w:r>
      <w:r>
        <w:rPr>
          <w:rFonts w:hint="eastAsia" w:ascii="宋体" w:hAnsi="宋体"/>
          <w:color w:val="auto"/>
          <w:sz w:val="24"/>
          <w:szCs w:val="22"/>
          <w:lang w:val="en-US" w:eastAsia="zh-CN"/>
        </w:rPr>
        <w:t xml:space="preserve">   </w:t>
      </w:r>
      <w:r>
        <w:rPr>
          <w:rFonts w:hint="eastAsia" w:ascii="宋体" w:hAnsi="宋体"/>
          <w:color w:val="auto"/>
          <w:sz w:val="24"/>
          <w:szCs w:val="22"/>
        </w:rPr>
        <w:t xml:space="preserve">月 </w:t>
      </w:r>
      <w:r>
        <w:rPr>
          <w:rFonts w:hint="eastAsia" w:ascii="宋体" w:hAnsi="宋体"/>
          <w:color w:val="auto"/>
          <w:sz w:val="24"/>
          <w:szCs w:val="22"/>
          <w:lang w:val="en-US" w:eastAsia="zh-CN"/>
        </w:rPr>
        <w:t xml:space="preserve">  </w:t>
      </w:r>
      <w:r>
        <w:rPr>
          <w:rFonts w:hint="eastAsia" w:ascii="宋体" w:hAnsi="宋体"/>
          <w:color w:val="auto"/>
          <w:sz w:val="24"/>
          <w:szCs w:val="22"/>
        </w:rPr>
        <w:t>日</w:t>
      </w:r>
      <w:r>
        <w:rPr>
          <w:rFonts w:hint="eastAsia" w:ascii="宋体" w:hAnsi="宋体"/>
          <w:color w:val="auto"/>
          <w:sz w:val="24"/>
          <w:szCs w:val="22"/>
          <w:lang w:val="en-US" w:eastAsia="zh-CN"/>
        </w:rPr>
        <w:t xml:space="preserve">   </w:t>
      </w:r>
      <w:r>
        <w:rPr>
          <w:rFonts w:hint="eastAsia" w:ascii="宋体" w:hAnsi="宋体"/>
          <w:color w:val="auto"/>
          <w:sz w:val="24"/>
          <w:szCs w:val="22"/>
        </w:rPr>
        <w:t xml:space="preserve">时  </w:t>
      </w:r>
      <w:r>
        <w:rPr>
          <w:rFonts w:hint="eastAsia" w:ascii="宋体" w:hAnsi="宋体"/>
          <w:color w:val="auto"/>
          <w:sz w:val="24"/>
          <w:szCs w:val="22"/>
          <w:lang w:val="en-US" w:eastAsia="zh-CN"/>
        </w:rPr>
        <w:t xml:space="preserve">  </w:t>
      </w:r>
      <w:r>
        <w:rPr>
          <w:rFonts w:hint="eastAsia" w:ascii="宋体" w:hAnsi="宋体"/>
          <w:color w:val="auto"/>
          <w:sz w:val="24"/>
          <w:szCs w:val="22"/>
        </w:rPr>
        <w:t>分（北京时间）前不得开启”字样，由法人签字并加盖公章。</w:t>
      </w:r>
    </w:p>
    <w:p>
      <w:pPr>
        <w:spacing w:line="360" w:lineRule="auto"/>
        <w:ind w:firstLine="480" w:firstLineChars="200"/>
        <w:rPr>
          <w:rFonts w:ascii="宋体" w:hAnsi="宋体"/>
          <w:color w:val="auto"/>
          <w:sz w:val="24"/>
        </w:rPr>
      </w:pPr>
      <w:r>
        <w:rPr>
          <w:rFonts w:hint="eastAsia" w:ascii="宋体" w:hAnsi="宋体"/>
          <w:color w:val="auto"/>
          <w:sz w:val="24"/>
        </w:rPr>
        <w:t>18.1.3响应文件未按18.1.1、18.1.2上述规定书写标记和密封者，</w:t>
      </w:r>
      <w:r>
        <w:rPr>
          <w:rFonts w:hAnsi="宋体"/>
          <w:color w:val="auto"/>
          <w:sz w:val="24"/>
          <w:szCs w:val="24"/>
        </w:rPr>
        <w:t>应视为非响应性响应予以拒绝</w:t>
      </w:r>
      <w:r>
        <w:rPr>
          <w:rFonts w:hint="eastAsia" w:hAnsi="宋体"/>
          <w:color w:val="auto"/>
          <w:sz w:val="24"/>
          <w:szCs w:val="24"/>
        </w:rPr>
        <w:t>，</w:t>
      </w:r>
      <w:r>
        <w:rPr>
          <w:rFonts w:hint="eastAsia" w:ascii="宋体" w:hAnsi="宋体"/>
          <w:color w:val="auto"/>
          <w:sz w:val="24"/>
        </w:rPr>
        <w:t>招标人不对响应文件被错放或先期启封负责。</w:t>
      </w:r>
    </w:p>
    <w:p>
      <w:pPr>
        <w:spacing w:line="360" w:lineRule="auto"/>
        <w:ind w:firstLine="482" w:firstLineChars="200"/>
        <w:rPr>
          <w:rFonts w:ascii="宋体" w:hAnsi="宋体" w:cs="仿宋"/>
          <w:b/>
          <w:bCs/>
          <w:color w:val="auto"/>
          <w:sz w:val="24"/>
          <w:szCs w:val="24"/>
        </w:rPr>
      </w:pPr>
      <w:r>
        <w:rPr>
          <w:rFonts w:hint="eastAsia" w:ascii="宋体" w:hAnsi="宋体" w:cs="仿宋"/>
          <w:b/>
          <w:bCs/>
          <w:color w:val="auto"/>
          <w:sz w:val="24"/>
          <w:szCs w:val="24"/>
        </w:rPr>
        <w:t>18.2响应文件的递交方式</w:t>
      </w:r>
    </w:p>
    <w:p>
      <w:pPr>
        <w:spacing w:line="360" w:lineRule="auto"/>
        <w:ind w:firstLine="480" w:firstLineChars="200"/>
        <w:rPr>
          <w:rFonts w:ascii="宋体" w:hAnsi="宋体"/>
          <w:color w:val="auto"/>
          <w:sz w:val="24"/>
        </w:rPr>
      </w:pPr>
      <w:r>
        <w:rPr>
          <w:rFonts w:hint="eastAsia" w:ascii="宋体" w:hAnsi="宋体" w:cs="仿宋"/>
          <w:color w:val="auto"/>
          <w:sz w:val="24"/>
          <w:szCs w:val="24"/>
        </w:rPr>
        <w:t>18.2.1</w:t>
      </w:r>
      <w:r>
        <w:rPr>
          <w:rFonts w:hint="eastAsia" w:ascii="宋体" w:hAnsi="宋体"/>
          <w:color w:val="auto"/>
          <w:sz w:val="24"/>
        </w:rPr>
        <w:t>供应商须在递交响应文件截止时间前将响应文件送达招标人规定的报价地点。在递交响应文件截止时间后递交的响应文件，招标人将拒绝接受</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18.2.</w:t>
      </w:r>
      <w:r>
        <w:rPr>
          <w:rFonts w:hint="eastAsia" w:ascii="宋体" w:hAnsi="宋体"/>
          <w:color w:val="auto"/>
          <w:sz w:val="24"/>
        </w:rPr>
        <w:t>2 若招标人推迟了递交响应文件截止时间，应以公告的形式通知所有供应商。在这种情况下，谈判方和供应商的权利和义务均应以新的截止时间为准。</w:t>
      </w:r>
    </w:p>
    <w:p>
      <w:pPr>
        <w:spacing w:line="360" w:lineRule="auto"/>
        <w:ind w:firstLine="480" w:firstLineChars="200"/>
        <w:outlineLvl w:val="1"/>
        <w:rPr>
          <w:rFonts w:ascii="宋体" w:hAnsi="宋体" w:cs="仿宋"/>
          <w:color w:val="auto"/>
          <w:sz w:val="24"/>
          <w:szCs w:val="24"/>
        </w:rPr>
      </w:pPr>
      <w:bookmarkStart w:id="25" w:name="_Toc1660489"/>
      <w:r>
        <w:rPr>
          <w:rFonts w:hint="eastAsia" w:ascii="宋体" w:hAnsi="宋体" w:cs="仿宋"/>
          <w:color w:val="auto"/>
          <w:sz w:val="24"/>
          <w:szCs w:val="24"/>
        </w:rPr>
        <w:t>18.2.3截至谈判截止时间，参加谈判的供应商（以递交响应文件家数为准）不足法定家数的，予以采购失败，响应文件原封退还给供应商；</w:t>
      </w:r>
      <w:bookmarkEnd w:id="25"/>
    </w:p>
    <w:p>
      <w:pPr>
        <w:spacing w:line="360" w:lineRule="auto"/>
        <w:ind w:firstLine="480" w:firstLineChars="200"/>
        <w:outlineLvl w:val="1"/>
        <w:rPr>
          <w:rFonts w:ascii="宋体" w:hAnsi="宋体" w:cs="仿宋"/>
          <w:color w:val="auto"/>
          <w:sz w:val="24"/>
          <w:szCs w:val="24"/>
        </w:rPr>
      </w:pPr>
      <w:bookmarkStart w:id="26" w:name="_Toc1660490"/>
      <w:r>
        <w:rPr>
          <w:rFonts w:hint="eastAsia" w:ascii="宋体" w:hAnsi="宋体" w:cs="仿宋"/>
          <w:color w:val="auto"/>
          <w:sz w:val="24"/>
          <w:szCs w:val="24"/>
        </w:rPr>
        <w:t>18.2.4参加响应供应商数量满足法定家数的，同一时间予以开标，开标后，响应文件一律不予退还。</w:t>
      </w:r>
      <w:bookmarkEnd w:id="26"/>
    </w:p>
    <w:p>
      <w:pPr>
        <w:pStyle w:val="94"/>
        <w:spacing w:line="360" w:lineRule="auto"/>
        <w:ind w:firstLine="0" w:firstLineChars="0"/>
        <w:rPr>
          <w:rFonts w:ascii="宋体" w:hAnsi="宋体" w:cs="仿宋"/>
          <w:b/>
          <w:bCs/>
          <w:color w:val="auto"/>
          <w:sz w:val="24"/>
          <w:szCs w:val="24"/>
        </w:rPr>
      </w:pPr>
      <w:r>
        <w:rPr>
          <w:rFonts w:hint="eastAsia" w:ascii="宋体" w:hAnsi="宋体" w:cs="仿宋"/>
          <w:b/>
          <w:bCs/>
          <w:color w:val="auto"/>
          <w:sz w:val="24"/>
          <w:szCs w:val="24"/>
        </w:rPr>
        <w:t>19.响应文件补充、修改和撤回</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19.l 供应商在响应截止时间前，可以对所递交的响应文件进行补充、修改或者撤回，并书面通知采购人或者采购代理机构。补充、修改的内容应当按照竞争性谈判文件要求签署、盖章、密封后，作为响应文件的组成部分。</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19.2 响应文件的修改文件应按第18条规定密封和递交，还须注明“修改响应文件”和“开标前不得启封”字样。修改文件须在响应截止时间前送达规定的响应地点。上述补充或修改若涉及响应报价，必须注明“最终唯一报价”字样，否则将视为有选择的报价。</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19.3 供应商不得在响应截止时间以后修改或/和撤回响应文件。</w:t>
      </w:r>
    </w:p>
    <w:p>
      <w:pPr>
        <w:spacing w:line="360" w:lineRule="auto"/>
        <w:rPr>
          <w:rFonts w:ascii="宋体" w:hAnsi="宋体" w:cs="仿宋"/>
          <w:bCs/>
          <w:color w:val="auto"/>
          <w:sz w:val="24"/>
          <w:szCs w:val="24"/>
        </w:rPr>
      </w:pPr>
      <w:r>
        <w:rPr>
          <w:rFonts w:hint="eastAsia" w:ascii="宋体" w:hAnsi="宋体" w:cs="仿宋"/>
          <w:b/>
          <w:bCs/>
          <w:color w:val="auto"/>
          <w:sz w:val="24"/>
          <w:szCs w:val="24"/>
        </w:rPr>
        <w:t>20.供应商注意事项</w:t>
      </w:r>
    </w:p>
    <w:p>
      <w:pPr>
        <w:pStyle w:val="94"/>
        <w:spacing w:line="360" w:lineRule="auto"/>
        <w:ind w:firstLine="482"/>
        <w:rPr>
          <w:rFonts w:ascii="宋体" w:hAnsi="宋体" w:cs="仿宋"/>
          <w:b/>
          <w:bCs/>
          <w:color w:val="auto"/>
          <w:sz w:val="24"/>
          <w:szCs w:val="24"/>
        </w:rPr>
      </w:pPr>
      <w:r>
        <w:rPr>
          <w:rFonts w:hint="eastAsia" w:ascii="宋体" w:hAnsi="宋体" w:cs="仿宋"/>
          <w:b/>
          <w:bCs/>
          <w:color w:val="auto"/>
          <w:sz w:val="24"/>
          <w:szCs w:val="24"/>
        </w:rPr>
        <w:t>20.1供应商有下列情形之一的,评标委员会认定为供应商串通响应，其响应无效，书面报告财政部门：</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（1）不同供应商的响应文件由同一单位或者个人编制；</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（2）不同供应商委托同一单位或者个人办理响应事宜；</w:t>
      </w:r>
    </w:p>
    <w:p>
      <w:pPr>
        <w:pStyle w:val="94"/>
        <w:spacing w:line="360" w:lineRule="auto"/>
        <w:ind w:firstLine="480"/>
        <w:rPr>
          <w:rFonts w:ascii="宋体" w:hAnsi="宋体" w:cs="仿宋"/>
          <w:color w:val="auto"/>
          <w:sz w:val="24"/>
          <w:szCs w:val="24"/>
        </w:rPr>
      </w:pPr>
      <w:r>
        <w:rPr>
          <w:rFonts w:hint="eastAsia" w:ascii="宋体" w:hAnsi="宋体" w:cs="仿宋"/>
          <w:color w:val="auto"/>
          <w:sz w:val="24"/>
          <w:szCs w:val="24"/>
        </w:rPr>
        <w:t>（3）不同供应商的响应文件载明的项目管理成员或者联系人员为同一人；</w:t>
      </w:r>
    </w:p>
    <w:p>
      <w:pPr>
        <w:pStyle w:val="94"/>
        <w:spacing w:line="360" w:lineRule="auto"/>
        <w:ind w:left="-708" w:leftChars="-337" w:firstLine="1200" w:firstLineChars="500"/>
        <w:rPr>
          <w:rFonts w:ascii="宋体" w:hAnsi="宋体" w:cs="仿宋"/>
          <w:color w:val="auto"/>
          <w:sz w:val="24"/>
          <w:szCs w:val="24"/>
        </w:rPr>
      </w:pPr>
      <w:r>
        <w:rPr>
          <w:rFonts w:hint="eastAsia" w:ascii="宋体" w:hAnsi="宋体" w:cs="仿宋"/>
          <w:color w:val="auto"/>
          <w:sz w:val="24"/>
          <w:szCs w:val="24"/>
        </w:rPr>
        <w:t>（4）不同供应商的响应文件异常一致或者响应报价呈规律性差异；</w:t>
      </w:r>
    </w:p>
    <w:p>
      <w:pPr>
        <w:pStyle w:val="94"/>
        <w:spacing w:line="360" w:lineRule="auto"/>
        <w:ind w:left="-708" w:leftChars="-337" w:firstLine="1200" w:firstLineChars="500"/>
        <w:rPr>
          <w:rFonts w:ascii="宋体" w:hAnsi="宋体" w:cs="仿宋"/>
          <w:color w:val="auto"/>
          <w:sz w:val="24"/>
          <w:szCs w:val="24"/>
        </w:rPr>
      </w:pPr>
      <w:r>
        <w:rPr>
          <w:rFonts w:hint="eastAsia" w:ascii="宋体" w:hAnsi="宋体" w:cs="仿宋"/>
          <w:color w:val="auto"/>
          <w:sz w:val="24"/>
          <w:szCs w:val="24"/>
        </w:rPr>
        <w:t>（5）不同供应商的响应文件相互混装；</w:t>
      </w:r>
    </w:p>
    <w:p>
      <w:pPr>
        <w:pStyle w:val="94"/>
        <w:spacing w:line="360" w:lineRule="auto"/>
        <w:ind w:left="-708" w:leftChars="-337" w:firstLine="1200" w:firstLineChars="500"/>
        <w:rPr>
          <w:rFonts w:ascii="宋体" w:hAnsi="宋体" w:cs="仿宋"/>
          <w:color w:val="auto"/>
          <w:sz w:val="24"/>
          <w:szCs w:val="24"/>
        </w:rPr>
      </w:pPr>
      <w:r>
        <w:rPr>
          <w:rFonts w:hint="eastAsia" w:ascii="宋体" w:hAnsi="宋体" w:cs="仿宋"/>
          <w:color w:val="auto"/>
          <w:sz w:val="24"/>
          <w:szCs w:val="24"/>
        </w:rPr>
        <w:t>（6）不同供应商的响应保证金从同一个单位或者个人账户转出。</w:t>
      </w:r>
    </w:p>
    <w:p>
      <w:pPr>
        <w:pStyle w:val="94"/>
        <w:spacing w:line="360" w:lineRule="auto"/>
        <w:ind w:left="-708" w:leftChars="-337" w:firstLine="1205" w:firstLineChars="500"/>
        <w:rPr>
          <w:rFonts w:ascii="宋体" w:hAnsi="宋体" w:cs="仿宋"/>
          <w:b/>
          <w:bCs/>
          <w:color w:val="auto"/>
          <w:sz w:val="24"/>
        </w:rPr>
      </w:pPr>
      <w:r>
        <w:rPr>
          <w:rFonts w:hint="eastAsia" w:ascii="宋体" w:hAnsi="宋体" w:cs="仿宋"/>
          <w:b/>
          <w:bCs/>
          <w:color w:val="auto"/>
          <w:sz w:val="24"/>
        </w:rPr>
        <w:t>20.2 供应商存在下列情形之一的，响应无效：</w:t>
      </w:r>
    </w:p>
    <w:p>
      <w:pPr>
        <w:spacing w:line="360" w:lineRule="auto"/>
        <w:ind w:firstLine="480" w:firstLineChars="200"/>
        <w:rPr>
          <w:rFonts w:ascii="宋体" w:hAnsi="宋体" w:cs="仿宋"/>
          <w:color w:val="auto"/>
          <w:sz w:val="24"/>
        </w:rPr>
      </w:pPr>
      <w:r>
        <w:rPr>
          <w:rFonts w:hint="eastAsia" w:ascii="宋体" w:hAnsi="宋体" w:cs="仿宋"/>
          <w:color w:val="auto"/>
          <w:sz w:val="24"/>
        </w:rPr>
        <w:t>（1）未按照竞争性谈判文件的规定提交谈判保证金的；</w:t>
      </w:r>
    </w:p>
    <w:p>
      <w:pPr>
        <w:spacing w:line="360" w:lineRule="auto"/>
        <w:ind w:firstLine="480" w:firstLineChars="200"/>
        <w:rPr>
          <w:rFonts w:ascii="宋体" w:hAnsi="宋体" w:cs="仿宋"/>
          <w:color w:val="auto"/>
          <w:sz w:val="24"/>
        </w:rPr>
      </w:pPr>
      <w:r>
        <w:rPr>
          <w:rFonts w:hint="eastAsia" w:ascii="宋体" w:hAnsi="宋体" w:cs="仿宋"/>
          <w:color w:val="auto"/>
          <w:sz w:val="24"/>
        </w:rPr>
        <w:t>（2）响应文件未按照竞争性谈判文件要求签署、盖章的；</w:t>
      </w:r>
    </w:p>
    <w:p>
      <w:pPr>
        <w:spacing w:line="360" w:lineRule="auto"/>
        <w:ind w:firstLine="480" w:firstLineChars="200"/>
        <w:rPr>
          <w:rFonts w:ascii="宋体" w:hAnsi="宋体" w:cs="仿宋"/>
          <w:color w:val="auto"/>
          <w:sz w:val="24"/>
        </w:rPr>
      </w:pPr>
      <w:r>
        <w:rPr>
          <w:rFonts w:hint="eastAsia" w:ascii="宋体" w:hAnsi="宋体" w:cs="仿宋"/>
          <w:color w:val="auto"/>
          <w:sz w:val="24"/>
        </w:rPr>
        <w:t>（3）不具备竞争性谈判文件规定的资格要求的；</w:t>
      </w:r>
    </w:p>
    <w:p>
      <w:pPr>
        <w:spacing w:line="360" w:lineRule="auto"/>
        <w:ind w:firstLine="480" w:firstLineChars="200"/>
        <w:rPr>
          <w:rFonts w:ascii="宋体" w:hAnsi="宋体" w:cs="仿宋"/>
          <w:color w:val="auto"/>
          <w:sz w:val="24"/>
        </w:rPr>
      </w:pPr>
      <w:r>
        <w:rPr>
          <w:rFonts w:hint="eastAsia" w:ascii="宋体" w:hAnsi="宋体" w:cs="仿宋"/>
          <w:color w:val="auto"/>
          <w:sz w:val="24"/>
        </w:rPr>
        <w:t>（4）报价超过竞争性谈判文件规定的预算金额或者最高限价的；</w:t>
      </w:r>
    </w:p>
    <w:p>
      <w:pPr>
        <w:spacing w:line="360" w:lineRule="auto"/>
        <w:ind w:firstLine="480" w:firstLineChars="200"/>
        <w:rPr>
          <w:rFonts w:ascii="宋体" w:hAnsi="宋体" w:cs="仿宋"/>
          <w:color w:val="auto"/>
          <w:sz w:val="24"/>
        </w:rPr>
      </w:pPr>
      <w:r>
        <w:rPr>
          <w:rFonts w:hint="eastAsia" w:ascii="宋体" w:hAnsi="宋体" w:cs="仿宋"/>
          <w:color w:val="auto"/>
          <w:sz w:val="24"/>
        </w:rPr>
        <w:t>（5）响应文件含有采购人不能接受的附加条件的；</w:t>
      </w:r>
    </w:p>
    <w:p>
      <w:pPr>
        <w:spacing w:line="360" w:lineRule="auto"/>
        <w:ind w:firstLine="480" w:firstLineChars="200"/>
        <w:rPr>
          <w:rFonts w:ascii="宋体" w:hAnsi="宋体" w:cs="仿宋"/>
          <w:color w:val="auto"/>
          <w:sz w:val="24"/>
        </w:rPr>
      </w:pPr>
      <w:r>
        <w:rPr>
          <w:rFonts w:hint="eastAsia" w:ascii="宋体" w:hAnsi="宋体" w:cs="仿宋"/>
          <w:color w:val="auto"/>
          <w:sz w:val="24"/>
        </w:rPr>
        <w:t>（6）法律、法规和竞争性谈判文件规定的其他无效情形。</w:t>
      </w:r>
    </w:p>
    <w:p>
      <w:pPr>
        <w:pStyle w:val="94"/>
        <w:spacing w:line="360" w:lineRule="auto"/>
        <w:ind w:firstLine="480"/>
        <w:rPr>
          <w:rFonts w:ascii="宋体" w:hAnsi="宋体" w:cs="仿宋"/>
          <w:b/>
          <w:bCs/>
          <w:color w:val="auto"/>
          <w:sz w:val="24"/>
          <w:szCs w:val="24"/>
        </w:rPr>
      </w:pPr>
      <w:r>
        <w:rPr>
          <w:rFonts w:hint="eastAsia" w:ascii="宋体" w:hAnsi="宋体" w:cs="仿宋"/>
          <w:color w:val="auto"/>
          <w:sz w:val="24"/>
          <w:szCs w:val="24"/>
        </w:rPr>
        <w:t>20.3在评标期间，供应商企图影响采购人、采购代理机构或评标委员会评审公正性的任何活动，将导致响应无效，并由其承担相应的法律责任。</w:t>
      </w:r>
    </w:p>
    <w:p>
      <w:pPr>
        <w:spacing w:line="360" w:lineRule="auto"/>
        <w:ind w:firstLine="561"/>
        <w:jc w:val="center"/>
        <w:rPr>
          <w:rFonts w:ascii="宋体" w:hAnsi="宋体" w:cs="宋体"/>
          <w:b/>
          <w:color w:val="auto"/>
          <w:sz w:val="24"/>
        </w:rPr>
      </w:pPr>
      <w:r>
        <w:rPr>
          <w:rFonts w:hint="eastAsia" w:ascii="宋体" w:hAnsi="宋体" w:cs="仿宋"/>
          <w:b/>
          <w:bCs/>
          <w:color w:val="auto"/>
          <w:sz w:val="24"/>
          <w:szCs w:val="24"/>
        </w:rPr>
        <w:t xml:space="preserve"> </w:t>
      </w:r>
      <w:bookmarkStart w:id="27" w:name="_Toc246826112"/>
    </w:p>
    <w:p>
      <w:pPr>
        <w:numPr>
          <w:ilvl w:val="0"/>
          <w:numId w:val="2"/>
        </w:numPr>
        <w:spacing w:line="360" w:lineRule="auto"/>
        <w:ind w:firstLine="561"/>
        <w:jc w:val="center"/>
        <w:rPr>
          <w:rFonts w:ascii="宋体" w:hAnsi="宋体" w:cs="黑体"/>
          <w:b/>
          <w:color w:val="auto"/>
          <w:sz w:val="24"/>
        </w:rPr>
      </w:pPr>
      <w:r>
        <w:rPr>
          <w:rFonts w:hint="eastAsia" w:ascii="宋体" w:hAnsi="宋体" w:cs="黑体"/>
          <w:b/>
          <w:color w:val="auto"/>
          <w:sz w:val="24"/>
        </w:rPr>
        <w:t>开标与评</w:t>
      </w:r>
      <w:bookmarkEnd w:id="27"/>
      <w:r>
        <w:rPr>
          <w:rFonts w:hint="eastAsia" w:ascii="宋体" w:hAnsi="宋体" w:cs="黑体"/>
          <w:b/>
          <w:color w:val="auto"/>
          <w:sz w:val="24"/>
        </w:rPr>
        <w:t>审</w:t>
      </w:r>
    </w:p>
    <w:p>
      <w:pPr>
        <w:spacing w:line="360" w:lineRule="auto"/>
        <w:ind w:left="561"/>
        <w:rPr>
          <w:rFonts w:ascii="宋体" w:hAnsi="宋体" w:cs="黑体"/>
          <w:b/>
          <w:color w:val="auto"/>
          <w:sz w:val="24"/>
        </w:rPr>
      </w:pPr>
    </w:p>
    <w:p>
      <w:pPr>
        <w:spacing w:line="360" w:lineRule="auto"/>
        <w:rPr>
          <w:rFonts w:ascii="宋体" w:hAnsi="宋体" w:cs="仿宋"/>
          <w:b/>
          <w:color w:val="auto"/>
          <w:sz w:val="24"/>
          <w:szCs w:val="24"/>
        </w:rPr>
      </w:pPr>
      <w:r>
        <w:rPr>
          <w:rFonts w:hint="eastAsia" w:ascii="宋体" w:hAnsi="宋体" w:cs="仿宋"/>
          <w:b/>
          <w:color w:val="auto"/>
          <w:sz w:val="24"/>
          <w:szCs w:val="24"/>
        </w:rPr>
        <w:t>21.开标</w:t>
      </w:r>
    </w:p>
    <w:p>
      <w:pPr>
        <w:spacing w:line="360" w:lineRule="auto"/>
        <w:ind w:firstLine="480" w:firstLineChars="200"/>
        <w:outlineLvl w:val="1"/>
        <w:rPr>
          <w:rFonts w:ascii="宋体" w:hAnsi="宋体" w:cs="仿宋"/>
          <w:bCs/>
          <w:color w:val="auto"/>
          <w:sz w:val="24"/>
          <w:szCs w:val="24"/>
        </w:rPr>
      </w:pPr>
      <w:bookmarkStart w:id="28" w:name="_Toc1660491"/>
      <w:r>
        <w:rPr>
          <w:rFonts w:hint="eastAsia" w:ascii="宋体" w:hAnsi="宋体" w:cs="仿宋"/>
          <w:bCs/>
          <w:color w:val="auto"/>
          <w:sz w:val="24"/>
          <w:szCs w:val="24"/>
        </w:rPr>
        <w:t>21.1采购代理机构按照相关规定，在竞争性谈判文件确定的时间、地点主持开标，并邀请供应商代表参加,</w:t>
      </w:r>
      <w:r>
        <w:rPr>
          <w:rFonts w:hint="eastAsia" w:ascii="宋体" w:hAnsi="宋体" w:cs="仿宋_GB2312"/>
          <w:color w:val="auto"/>
          <w:sz w:val="24"/>
        </w:rPr>
        <w:t>供应商响应代表须携带个人身份证（或其他有效证件）复印件和授权委托书亲自出席开标会并确认开标情况</w:t>
      </w:r>
      <w:r>
        <w:rPr>
          <w:rFonts w:hint="eastAsia" w:ascii="宋体" w:hAnsi="宋体" w:cs="仿宋"/>
          <w:bCs/>
          <w:color w:val="auto"/>
          <w:sz w:val="24"/>
          <w:szCs w:val="24"/>
        </w:rPr>
        <w:t>。如果不参加开标的，则视同该供应商承认开标记录，且不得事后对开标记录提出任何异议，否则，其响应将作无效响应论处。</w:t>
      </w:r>
      <w:bookmarkEnd w:id="28"/>
    </w:p>
    <w:p>
      <w:pPr>
        <w:spacing w:line="360" w:lineRule="auto"/>
        <w:ind w:firstLine="480" w:firstLineChars="200"/>
        <w:outlineLvl w:val="1"/>
        <w:rPr>
          <w:rFonts w:ascii="宋体" w:hAnsi="宋体" w:cs="仿宋"/>
          <w:bCs/>
          <w:color w:val="auto"/>
          <w:sz w:val="24"/>
          <w:szCs w:val="24"/>
        </w:rPr>
      </w:pPr>
      <w:bookmarkStart w:id="29" w:name="_Toc1660492"/>
      <w:r>
        <w:rPr>
          <w:rFonts w:hint="eastAsia" w:ascii="宋体" w:hAnsi="宋体" w:cs="仿宋"/>
          <w:bCs/>
          <w:color w:val="auto"/>
          <w:sz w:val="24"/>
          <w:szCs w:val="24"/>
        </w:rPr>
        <w:t>21.2开标时按规定查验纸质响应文件密封情况。对密封等情形确认后响应文件当众拆封。</w:t>
      </w:r>
      <w:bookmarkEnd w:id="29"/>
    </w:p>
    <w:p>
      <w:pPr>
        <w:spacing w:line="360" w:lineRule="auto"/>
        <w:ind w:firstLine="480" w:firstLineChars="200"/>
        <w:outlineLvl w:val="1"/>
        <w:rPr>
          <w:rFonts w:ascii="宋体" w:hAnsi="宋体" w:cs="仿宋"/>
          <w:bCs/>
          <w:color w:val="auto"/>
          <w:sz w:val="24"/>
          <w:szCs w:val="24"/>
        </w:rPr>
      </w:pPr>
      <w:bookmarkStart w:id="30" w:name="_Toc1660493"/>
      <w:r>
        <w:rPr>
          <w:rFonts w:hint="eastAsia" w:ascii="宋体" w:hAnsi="宋体" w:cs="仿宋"/>
          <w:bCs/>
          <w:color w:val="auto"/>
          <w:sz w:val="24"/>
          <w:szCs w:val="24"/>
        </w:rPr>
        <w:t>21.3 评审小组按照竞争性谈判文件的要求，</w:t>
      </w:r>
      <w:r>
        <w:rPr>
          <w:rFonts w:hint="eastAsia" w:ascii="宋体" w:hAnsi="宋体" w:cs="仿宋"/>
          <w:color w:val="auto"/>
          <w:kern w:val="44"/>
          <w:sz w:val="24"/>
          <w:szCs w:val="24"/>
        </w:rPr>
        <w:t>对供应商提供的资格审查文件</w:t>
      </w:r>
      <w:r>
        <w:rPr>
          <w:rFonts w:hint="eastAsia" w:ascii="宋体" w:hAnsi="宋体" w:cs="仿宋"/>
          <w:bCs/>
          <w:color w:val="auto"/>
          <w:sz w:val="24"/>
          <w:szCs w:val="24"/>
        </w:rPr>
        <w:t>进行审查。</w:t>
      </w:r>
      <w:r>
        <w:rPr>
          <w:rFonts w:hint="eastAsia" w:ascii="宋体" w:hAnsi="宋体" w:cs="仿宋"/>
          <w:color w:val="auto"/>
          <w:kern w:val="44"/>
          <w:sz w:val="24"/>
          <w:szCs w:val="24"/>
        </w:rPr>
        <w:t>供应商的资格审查一般包括有效的营业执照、良好的商业信誉和健全的财务会计制度、依法纳税及社保资金的良好记录等（详见资格性审查表）。资格审查应按照竞争性谈判文件要求，以确认承诺、现场查询等方式进行。</w:t>
      </w:r>
      <w:bookmarkEnd w:id="30"/>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21.4</w:t>
      </w:r>
      <w:r>
        <w:rPr>
          <w:rFonts w:hint="eastAsia" w:ascii="宋体" w:hAnsi="宋体" w:cs="仿宋"/>
          <w:color w:val="auto"/>
          <w:kern w:val="44"/>
          <w:sz w:val="24"/>
          <w:szCs w:val="24"/>
        </w:rPr>
        <w:t xml:space="preserve"> 审查合格供应商进行谈判提交最终报价。</w:t>
      </w:r>
    </w:p>
    <w:p>
      <w:pPr>
        <w:pStyle w:val="106"/>
        <w:numPr>
          <w:ilvl w:val="0"/>
          <w:numId w:val="0"/>
        </w:numPr>
        <w:tabs>
          <w:tab w:val="clear" w:pos="709"/>
        </w:tabs>
        <w:spacing w:line="360" w:lineRule="auto"/>
        <w:ind w:firstLine="480" w:firstLineChars="200"/>
        <w:rPr>
          <w:rFonts w:cs="仿宋"/>
          <w:bCs/>
          <w:color w:val="auto"/>
          <w:sz w:val="24"/>
          <w:szCs w:val="24"/>
        </w:rPr>
      </w:pPr>
      <w:r>
        <w:rPr>
          <w:rFonts w:hint="eastAsia" w:cs="仿宋"/>
          <w:bCs/>
          <w:color w:val="auto"/>
          <w:sz w:val="24"/>
          <w:szCs w:val="24"/>
        </w:rPr>
        <w:t>21.5唱标环节由评审工作人员当众宣读供应商名称、响应报价等“开标一览表”所载明的部分内容及最终报价。供应商若有报价和优惠未被唱出，或对开标过程、开标记录有异议，以及认为相关人员有需要回避情形的，应及时声明。</w:t>
      </w:r>
    </w:p>
    <w:p>
      <w:pPr>
        <w:pStyle w:val="106"/>
        <w:numPr>
          <w:ilvl w:val="0"/>
          <w:numId w:val="0"/>
        </w:numPr>
        <w:tabs>
          <w:tab w:val="clear" w:pos="709"/>
        </w:tabs>
        <w:spacing w:line="360" w:lineRule="auto"/>
        <w:ind w:firstLine="480" w:firstLineChars="200"/>
        <w:rPr>
          <w:rFonts w:cs="仿宋"/>
          <w:bCs/>
          <w:color w:val="auto"/>
          <w:sz w:val="24"/>
          <w:szCs w:val="24"/>
        </w:rPr>
      </w:pPr>
      <w:r>
        <w:rPr>
          <w:rFonts w:hint="eastAsia" w:cs="仿宋"/>
          <w:bCs/>
          <w:color w:val="auto"/>
          <w:sz w:val="24"/>
          <w:szCs w:val="24"/>
        </w:rPr>
        <w:t>21.6评审工作人员做开标记录，并在开标后要求供应商响应代表签字确认。供应商未参加开标的，视同认可开标结果。</w:t>
      </w:r>
    </w:p>
    <w:p>
      <w:pPr>
        <w:pStyle w:val="7"/>
        <w:spacing w:before="0" w:after="0" w:line="360" w:lineRule="auto"/>
        <w:rPr>
          <w:rFonts w:ascii="宋体" w:hAnsi="宋体" w:eastAsia="宋体" w:cs="仿宋"/>
          <w:b w:val="0"/>
          <w:color w:val="auto"/>
          <w:sz w:val="24"/>
          <w:szCs w:val="24"/>
        </w:rPr>
      </w:pPr>
      <w:bookmarkStart w:id="31" w:name="_Toc1660494"/>
      <w:bookmarkStart w:id="32" w:name="_Toc328815997"/>
      <w:r>
        <w:rPr>
          <w:rFonts w:hint="eastAsia" w:ascii="宋体" w:hAnsi="宋体" w:eastAsia="宋体" w:cs="仿宋"/>
          <w:bCs w:val="0"/>
          <w:color w:val="auto"/>
          <w:sz w:val="24"/>
          <w:szCs w:val="24"/>
        </w:rPr>
        <w:t>22.评审</w:t>
      </w:r>
      <w:bookmarkEnd w:id="31"/>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22.1 评审步骤与要求</w:t>
      </w:r>
    </w:p>
    <w:p>
      <w:pPr>
        <w:pStyle w:val="106"/>
        <w:numPr>
          <w:ilvl w:val="0"/>
          <w:numId w:val="0"/>
        </w:numPr>
        <w:tabs>
          <w:tab w:val="clear" w:pos="709"/>
        </w:tabs>
        <w:spacing w:line="360" w:lineRule="auto"/>
        <w:ind w:firstLine="480" w:firstLineChars="200"/>
        <w:rPr>
          <w:rFonts w:cs="仿宋"/>
          <w:bCs/>
          <w:color w:val="auto"/>
          <w:sz w:val="24"/>
          <w:szCs w:val="24"/>
        </w:rPr>
      </w:pPr>
      <w:r>
        <w:rPr>
          <w:rFonts w:hint="eastAsia" w:cs="仿宋"/>
          <w:bCs/>
          <w:color w:val="auto"/>
          <w:sz w:val="24"/>
          <w:szCs w:val="24"/>
        </w:rPr>
        <w:t>22.1.1 组建谈判小组</w:t>
      </w:r>
    </w:p>
    <w:p>
      <w:pPr>
        <w:spacing w:line="360" w:lineRule="auto"/>
        <w:ind w:firstLine="480" w:firstLineChars="200"/>
        <w:rPr>
          <w:rFonts w:hint="eastAsia" w:ascii="宋体" w:hAnsi="宋体" w:cs="仿宋"/>
          <w:bCs/>
          <w:color w:val="auto"/>
          <w:sz w:val="24"/>
          <w:szCs w:val="24"/>
          <w:lang w:eastAsia="zh-CN"/>
        </w:rPr>
      </w:pPr>
      <w:r>
        <w:rPr>
          <w:rFonts w:hint="eastAsia" w:ascii="宋体" w:hAnsi="宋体" w:cs="仿宋"/>
          <w:bCs/>
          <w:color w:val="auto"/>
          <w:sz w:val="24"/>
          <w:szCs w:val="24"/>
        </w:rPr>
        <w:t>22.1.1.1代理机构根据有关法律法规和本竞争性谈判文件的规定，结合本谈判项目的特点组建谈判小组，对具备实质性响应的响应文件进行评估和比较。谈判小组由三人以上单数组成</w:t>
      </w:r>
      <w:r>
        <w:rPr>
          <w:rFonts w:hint="eastAsia" w:ascii="宋体" w:hAnsi="宋体" w:cs="仿宋"/>
          <w:bCs/>
          <w:color w:val="auto"/>
          <w:sz w:val="24"/>
          <w:szCs w:val="24"/>
          <w:lang w:eastAsia="zh-CN"/>
        </w:rPr>
        <w:t>。</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22.1.1.2采购人或代理机构就竞争性谈判文件征询过意见的专家,不作为评审专家参加评审，采购人代表不能以专家身份参与评审，代理机构工作人员不得参加评审。</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22.1.1.3评审专家应当从政府采购评审专家库内相关专业的专家名单中随机抽取。技术复杂、专业性强的采购项目，经主管预算单位同意，可以自行选定评审专家。技术复杂、专业性强的采购项目，评审专家中应当包含1名法律专家。</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22.2 谈判准备与初步评审</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22.2.1 响应截止时间后，谈判小组将审查响应文件是否符合竞争性谈判文件的基本要求：内容是否完整、资格证明文件是否齐全、有无计算错误、文件签署是否齐全。</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22.2.2谈判小组对下列情况进行审查，以判断参与谈判供应商是否实质响应了谈判文件：</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（1） 谈判供应商资质条件是否响应谈判文件的要求；</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 谈判供应商在响应文件中提交的商务和技术文件是否响应谈判文件的要求；</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（3） 谈判供应商自行编写的技术文件是否合理可行；</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（4） 谈判供应商是否具备良好的财务状况和偿付能力；</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（5） 所报价格是否合理。</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22.2.3 实质上响应的响应是指与竞争性谈判文件的主要条款、条件和规格相符，没有重大偏离或保留。</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1）重大偏离或保留系指响应产品的质量、数量和交货期限等明显不能满足竞争性谈判文件的要求，或者实质上与竞争性谈判文件不一致，而且限制了采购人的权利或供应商的义务，纠正这些偏离或保留将对其他实质上响应要求的供应商的竞争地位产生不公正的影响。包括但不限于：</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1）应当交纳响应保证金的供应商未提交响应保证金或金额不足的；</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2）资格证明文件不全或无效的；</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3）响应文件未按竞争性谈判文件的规定签署、盖章的；</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4）响应有效期不足的；</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5）未按照竞争性谈判文件规定报价的；</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6）不符合竞争性谈判文件有关分包、转包规定的；</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7）响应文件附有采购人不能接受的条件；</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8）不符合竞争性谈判文件中规定的其他实质性要求。</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（2）重大偏离不允许在响应截止时间后修正，但谈判小组将允许修正响应中不构成重大偏离的地方，这些修正不会对其他实质上响应竞争性谈判文件要求的供应商的竞争地位产生不公正的影响。</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（3）如果响应文件实质上没有响应竞争性谈判文件的要求，谈判小组将予以拒绝，供应商不得再对响应文件进行任何修正从而使其响应成为实质上响应的响应。</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22.2.4响应文件的细微偏差是指在实质上响应竞争性谈判文件要求，但在个别地方存在漏项或者提供了不完整的技术信息和数据等情况，并且补正这些遗漏或者不完整不会对其他供应商造成不公平的结果。细微偏差不影响响应文件的有效性。</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22.3响应的澄清</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22.3.1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响应代表签字或者加盖公章。响应代表非法定代表人/主要负责人的，应当附法定代表人/主要负责人授权书。供应商为自然人的，应当由本人签字并附身份证明。</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22.3.2供应商必须按照谈判小组通知的内容和时间做出书面答复，该答复经响应代表签字认可，将作为响应文件内容的一部分。澄清、说明或者补正不得超出响应文件的范围或者改变响应文件的实质性内容。供应商拒不按照要求对响应文件进行澄清、说明或者补正的，谈判小组可拒绝该响应。</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22.3.3如谈判小组一致认为某个供应商的报价与各供应商报价的平均报价价差较大，存在明显不合理，有低于成本价或降低质量、不能诚信履行的可能，影响公平竞争时，谈判小组有权决定是否通知供应商限期进行书面解释或提供相关证明材料。若已要求，而该供应商在规定期限内未做出解释、作出的解释不合理或不能提供证明材料的，谈判小组可拒绝该响应。</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22.4对响应文件的详细评审</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22.4.1谈判小组所有成员应当集中与单一供应商分别进行谈判，并给予所有参加谈判的供应商平等的谈判机会。</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22.4.2谈判内容包括商务文件和服务要求的响应情况、所报价格等以及谈判小组认为存在偏离或有必要明确的其它问题。谈判小组将对谈判内容以谈判纪要的形式作出书面记录，谈判结束后，谈判供应商代表应在谈判纪要上签字确认。谈判纪要经供应商谈判代表签字确认后生效。</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22.4.3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文件的有效组成部分，如果谈判小组对谈判文件实质性内容作出变更，代理机构将书面通知所有参加谈判的谈判供应商，使每个谈判供应商均有同等机会根据修改后的谈判条件提交新的方案。供应商应当按照竞争性谈判文件的变动情况和谈判小组的要求重新提交响应文件，并由其响应代表签字或者加盖公章。由响应代表非法定代表人/主要负责人的，应当附法定代表人/主要负责人授权书。供应商为自然人的，应当由本人签字并附身份证明。</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22.4.4如果谈判中谈判小组确认需要谈判供应商就谈判中的相关问题提交澄清或补正材料，供应商应当在现场说明是否具备该材料并在谈判纪要上作出承诺。谈判供应商</w:t>
      </w:r>
      <w:bookmarkStart w:id="33" w:name="OLE_LINK15"/>
      <w:r>
        <w:rPr>
          <w:rFonts w:hint="eastAsia" w:ascii="宋体" w:hAnsi="宋体" w:cs="仿宋"/>
          <w:bCs/>
          <w:color w:val="auto"/>
          <w:sz w:val="24"/>
          <w:szCs w:val="24"/>
        </w:rPr>
        <w:t>须应按照谈判小组的时限及其它相关要求送达澄清或补正材料，并由其响应代表签字或者加盖公章。若谈判供应商未按要求提交澄清或补正材料，视为谈判供应商放弃成交。</w:t>
      </w:r>
      <w:bookmarkEnd w:id="33"/>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22.4.5已提交响应文件的供应商，在提交最后报价之前，可以根据谈判情况退出谈判。采购代理机构应当退还退出谈判的供应商的谈判保证金。</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22.5报价</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（1）谈判小组根据谈判情况、各谈判供应商的承诺及其提交的谈判补正澄清材料的情况，要求所有实质响应谈判文件的供应商进行二次报价。</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（2）谈判报价经供应商谈判代表签字确认后生效。</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（3）如果最低二次报价有两家（含）以上相同，谈判小组可要求所有参加谈判的供应商进行三次报价，依此类推。</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22.6确定成交供应商</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22.6.1谈判小组根据谈判情况确定实质性响应谈判文件要求的供应商中，按照最后报价由低到高的顺序提出3名以上成交候选人，并编写评审报告。</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22.6.2 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22.6.3 采购人将确定排名第一的成交候选人为成交供应商并向其授予合同。排名第一的成交候选人因不可抗力或者自身原因不能履行合同，或者本文件规定应当提交响应保证金而在规定期限未能提交的，采购人可以按照财政部关于《政府采购非招标采购方式管理办法》的通知(第74号令)第二十二条第二款规定的原则确定其他供应商作为成交供应商并签订政府采购合同。</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 xml:space="preserve">22.6.4 </w:t>
      </w:r>
      <w:r>
        <w:rPr>
          <w:rFonts w:hint="eastAsia" w:ascii="宋体" w:hAnsi="宋体" w:cs="仿宋"/>
          <w:color w:val="auto"/>
          <w:kern w:val="44"/>
          <w:sz w:val="24"/>
          <w:szCs w:val="24"/>
        </w:rPr>
        <w:t>采购代理机构</w:t>
      </w:r>
      <w:r>
        <w:rPr>
          <w:rFonts w:hint="eastAsia" w:ascii="宋体" w:hAnsi="宋体" w:cs="仿宋"/>
          <w:bCs/>
          <w:color w:val="auto"/>
          <w:sz w:val="24"/>
          <w:szCs w:val="24"/>
        </w:rPr>
        <w:t>将在评标结束后2个工作日内将评审报告送采购人。采购人自收到评审报告之日起5个工作日内，在评审报告确定的成交供应商候选人名单中按规定确定成交供应商，否则视同按评审报告推荐顺序确定排名第一的成交供应商候选人为成交供应商。采购人也可授权谈判小组按本条规定直接确定成交供应商。</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22.6.5除资格性检查认定错误、价格计算错误外，采购人或者采购代理机构不得以任何理由组织重新评审。采购人、采购代理机构发现谈判小组未按照竞争性谈判文件规定的评审标准进行评审的，应当重新开展采购活动，并同时书面报告本级财政部门。</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22.6.6采购人或者采购代理机构不得通过对样品进行检测、对供应商进行考察等方式改变评审结果。</w:t>
      </w:r>
    </w:p>
    <w:bookmarkEnd w:id="32"/>
    <w:p>
      <w:pPr>
        <w:spacing w:line="360" w:lineRule="auto"/>
        <w:ind w:firstLine="561"/>
        <w:jc w:val="center"/>
        <w:outlineLvl w:val="1"/>
        <w:rPr>
          <w:rFonts w:ascii="宋体" w:hAnsi="宋体" w:cs="黑体"/>
          <w:b/>
          <w:color w:val="auto"/>
          <w:sz w:val="24"/>
        </w:rPr>
      </w:pPr>
      <w:bookmarkStart w:id="34" w:name="_Toc246826113"/>
      <w:bookmarkStart w:id="35" w:name="_Toc1660495"/>
      <w:r>
        <w:rPr>
          <w:rFonts w:hint="eastAsia" w:ascii="宋体" w:hAnsi="宋体" w:cs="黑体"/>
          <w:b/>
          <w:color w:val="auto"/>
          <w:sz w:val="24"/>
        </w:rPr>
        <w:t>五、定标、合同</w:t>
      </w:r>
      <w:bookmarkEnd w:id="34"/>
      <w:r>
        <w:rPr>
          <w:rFonts w:hint="eastAsia" w:ascii="宋体" w:hAnsi="宋体" w:cs="黑体"/>
          <w:b/>
          <w:color w:val="auto"/>
          <w:sz w:val="24"/>
        </w:rPr>
        <w:t>与验收</w:t>
      </w:r>
      <w:bookmarkEnd w:id="35"/>
    </w:p>
    <w:p>
      <w:pPr>
        <w:spacing w:line="360" w:lineRule="auto"/>
        <w:ind w:firstLine="561"/>
        <w:jc w:val="center"/>
        <w:outlineLvl w:val="1"/>
        <w:rPr>
          <w:rFonts w:ascii="宋体" w:hAnsi="宋体" w:cs="宋体"/>
          <w:b/>
          <w:color w:val="auto"/>
          <w:sz w:val="24"/>
        </w:rPr>
      </w:pPr>
    </w:p>
    <w:p>
      <w:pPr>
        <w:spacing w:line="360" w:lineRule="auto"/>
        <w:jc w:val="left"/>
        <w:rPr>
          <w:rFonts w:ascii="宋体" w:hAnsi="宋体" w:cs="仿宋"/>
          <w:b/>
          <w:color w:val="auto"/>
          <w:sz w:val="24"/>
          <w:szCs w:val="24"/>
        </w:rPr>
      </w:pPr>
      <w:r>
        <w:rPr>
          <w:rFonts w:hint="eastAsia" w:ascii="宋体" w:hAnsi="宋体" w:cs="仿宋"/>
          <w:b/>
          <w:color w:val="auto"/>
          <w:sz w:val="24"/>
          <w:szCs w:val="24"/>
        </w:rPr>
        <w:t>23.定标准则</w:t>
      </w:r>
    </w:p>
    <w:p>
      <w:pPr>
        <w:spacing w:line="360" w:lineRule="auto"/>
        <w:ind w:firstLine="561"/>
        <w:rPr>
          <w:rFonts w:ascii="宋体" w:hAnsi="宋体" w:cs="仿宋"/>
          <w:bCs/>
          <w:color w:val="auto"/>
          <w:sz w:val="24"/>
          <w:szCs w:val="24"/>
        </w:rPr>
      </w:pPr>
      <w:r>
        <w:rPr>
          <w:rFonts w:hint="eastAsia" w:ascii="宋体" w:hAnsi="宋体" w:cs="仿宋"/>
          <w:bCs/>
          <w:color w:val="auto"/>
          <w:sz w:val="24"/>
          <w:szCs w:val="24"/>
        </w:rPr>
        <w:t>评审委员会推荐排名第一且经采购人确认的或经采购人授权评审委员会直接确定的供应商即为成交供应商。</w:t>
      </w:r>
    </w:p>
    <w:p>
      <w:pPr>
        <w:spacing w:line="360" w:lineRule="auto"/>
        <w:rPr>
          <w:rFonts w:ascii="宋体" w:hAnsi="宋体" w:cs="仿宋"/>
          <w:b/>
          <w:color w:val="auto"/>
          <w:sz w:val="24"/>
          <w:szCs w:val="24"/>
        </w:rPr>
      </w:pPr>
      <w:r>
        <w:rPr>
          <w:rFonts w:hint="eastAsia" w:ascii="宋体" w:hAnsi="宋体" w:cs="仿宋"/>
          <w:b/>
          <w:color w:val="auto"/>
          <w:sz w:val="24"/>
          <w:szCs w:val="24"/>
        </w:rPr>
        <w:t>24.成交通知</w:t>
      </w:r>
    </w:p>
    <w:p>
      <w:pPr>
        <w:spacing w:line="360" w:lineRule="auto"/>
        <w:ind w:firstLine="561"/>
        <w:rPr>
          <w:rFonts w:ascii="宋体" w:hAnsi="宋体" w:cs="仿宋"/>
          <w:bCs/>
          <w:color w:val="auto"/>
          <w:sz w:val="24"/>
          <w:szCs w:val="24"/>
        </w:rPr>
      </w:pPr>
      <w:r>
        <w:rPr>
          <w:rFonts w:hint="eastAsia" w:ascii="宋体" w:hAnsi="宋体" w:cs="仿宋"/>
          <w:bCs/>
          <w:color w:val="auto"/>
          <w:sz w:val="24"/>
          <w:szCs w:val="24"/>
        </w:rPr>
        <w:t>24.1由采购代理机构在省级及以上财政部门指定媒体上公布成交结果，向成交供应商发送《成交通知书》，但该成交结果的有效性不依赖于未成交的供应商是否已经收到该通知；</w:t>
      </w:r>
    </w:p>
    <w:p>
      <w:pPr>
        <w:spacing w:line="360" w:lineRule="auto"/>
        <w:ind w:firstLine="480" w:firstLineChars="200"/>
        <w:outlineLvl w:val="1"/>
        <w:rPr>
          <w:rFonts w:ascii="宋体" w:hAnsi="宋体" w:cs="仿宋"/>
          <w:bCs/>
          <w:color w:val="auto"/>
          <w:sz w:val="24"/>
          <w:szCs w:val="24"/>
        </w:rPr>
      </w:pPr>
      <w:bookmarkStart w:id="36" w:name="_Toc1660496"/>
      <w:r>
        <w:rPr>
          <w:rFonts w:hint="eastAsia" w:ascii="宋体" w:hAnsi="宋体" w:cs="仿宋"/>
          <w:bCs/>
          <w:color w:val="auto"/>
          <w:sz w:val="24"/>
          <w:szCs w:val="24"/>
        </w:rPr>
        <w:t>24.2成交通知书是合同的有效组成部分；</w:t>
      </w:r>
      <w:bookmarkEnd w:id="36"/>
    </w:p>
    <w:p>
      <w:pPr>
        <w:spacing w:line="360" w:lineRule="auto"/>
        <w:ind w:firstLine="480" w:firstLineChars="200"/>
        <w:outlineLvl w:val="1"/>
        <w:rPr>
          <w:rFonts w:ascii="宋体" w:hAnsi="宋体" w:cs="仿宋"/>
          <w:bCs/>
          <w:color w:val="auto"/>
          <w:sz w:val="24"/>
          <w:szCs w:val="24"/>
        </w:rPr>
      </w:pPr>
      <w:bookmarkStart w:id="37" w:name="_Toc1660497"/>
      <w:r>
        <w:rPr>
          <w:rFonts w:hint="eastAsia" w:ascii="宋体" w:hAnsi="宋体" w:cs="仿宋"/>
          <w:bCs/>
          <w:color w:val="auto"/>
          <w:sz w:val="24"/>
          <w:szCs w:val="24"/>
        </w:rPr>
        <w:t>24.3成交通知书对采购人和成交供应商均具有法律效力。成交通知书发出后，采购人改变成交结果，或者成交供应商无正当理由放弃成交的，应当承担相应的法律责任；出现争议的，报财政部门处理。</w:t>
      </w:r>
      <w:bookmarkEnd w:id="37"/>
    </w:p>
    <w:p>
      <w:pPr>
        <w:spacing w:line="360" w:lineRule="auto"/>
        <w:ind w:firstLine="480"/>
        <w:outlineLvl w:val="1"/>
        <w:rPr>
          <w:rFonts w:ascii="宋体" w:hAnsi="宋体" w:cs="仿宋"/>
          <w:bCs/>
          <w:color w:val="auto"/>
          <w:sz w:val="24"/>
          <w:szCs w:val="24"/>
        </w:rPr>
      </w:pPr>
      <w:bookmarkStart w:id="38" w:name="_Toc1660498"/>
      <w:r>
        <w:rPr>
          <w:rFonts w:hint="eastAsia" w:ascii="宋体" w:hAnsi="宋体" w:cs="仿宋"/>
          <w:bCs/>
          <w:color w:val="auto"/>
          <w:sz w:val="24"/>
          <w:szCs w:val="24"/>
        </w:rPr>
        <w:t>24.4成交供应商的响应文件如属于本应作为无效响应处理或者有政府采购法律法规规章制度规定成交无效情形的，采购代理机构在取得有权主体的认定以后，应当宣布发出的成交通知书无效，依法重新确定成交供应商或者重新开展采购活动。</w:t>
      </w:r>
      <w:bookmarkEnd w:id="38"/>
    </w:p>
    <w:p>
      <w:pPr>
        <w:spacing w:line="360" w:lineRule="auto"/>
        <w:outlineLvl w:val="1"/>
        <w:rPr>
          <w:rFonts w:ascii="宋体" w:hAnsi="宋体" w:cs="仿宋"/>
          <w:b/>
          <w:color w:val="auto"/>
          <w:sz w:val="24"/>
          <w:szCs w:val="24"/>
        </w:rPr>
      </w:pPr>
      <w:bookmarkStart w:id="39" w:name="_Toc1660499"/>
      <w:r>
        <w:rPr>
          <w:rFonts w:hint="eastAsia" w:ascii="宋体" w:hAnsi="宋体" w:cs="仿宋"/>
          <w:b/>
          <w:color w:val="auto"/>
          <w:sz w:val="24"/>
          <w:szCs w:val="24"/>
        </w:rPr>
        <w:t>25.合同签订</w:t>
      </w:r>
      <w:bookmarkEnd w:id="39"/>
    </w:p>
    <w:p>
      <w:pPr>
        <w:spacing w:line="360" w:lineRule="auto"/>
        <w:ind w:firstLine="480"/>
        <w:outlineLvl w:val="1"/>
        <w:rPr>
          <w:rFonts w:ascii="宋体" w:hAnsi="宋体" w:cs="仿宋"/>
          <w:bCs/>
          <w:color w:val="auto"/>
          <w:sz w:val="24"/>
          <w:szCs w:val="24"/>
        </w:rPr>
      </w:pPr>
      <w:bookmarkStart w:id="40" w:name="_Toc1660500"/>
      <w:r>
        <w:rPr>
          <w:rFonts w:hint="eastAsia" w:ascii="宋体" w:hAnsi="宋体" w:cs="仿宋"/>
          <w:bCs/>
          <w:color w:val="auto"/>
          <w:sz w:val="24"/>
          <w:szCs w:val="24"/>
        </w:rPr>
        <w:t>25.1成交供应商在收到《成交通知书》后，应在规定的时间内与采购人签订采购合同。由于成交供应商的原因逾期未与采购人签订采购合同的，将视为放弃成交，取消其成交资格并将按相关规定进行处理。</w:t>
      </w:r>
      <w:bookmarkEnd w:id="40"/>
    </w:p>
    <w:p>
      <w:pPr>
        <w:spacing w:line="360" w:lineRule="auto"/>
        <w:ind w:firstLine="480"/>
        <w:outlineLvl w:val="1"/>
        <w:rPr>
          <w:rFonts w:ascii="宋体" w:hAnsi="宋体" w:cs="仿宋"/>
          <w:bCs/>
          <w:color w:val="auto"/>
          <w:sz w:val="24"/>
          <w:szCs w:val="24"/>
        </w:rPr>
      </w:pPr>
      <w:bookmarkStart w:id="41" w:name="_Toc1660501"/>
      <w:r>
        <w:rPr>
          <w:rFonts w:hint="eastAsia" w:ascii="宋体" w:hAnsi="宋体" w:cs="仿宋"/>
          <w:bCs/>
          <w:color w:val="auto"/>
          <w:sz w:val="24"/>
          <w:szCs w:val="24"/>
        </w:rPr>
        <w:t>25.2采购人不得向成交供应商提出任何不合理的要求作为签订合同的条件，不得与成交供应商私下订立背离合同实质性内容的任何协议，所签订的合同不得对竞争性谈判文件和成交供应商响应文件作实质性修改。</w:t>
      </w:r>
      <w:bookmarkEnd w:id="41"/>
    </w:p>
    <w:p>
      <w:pPr>
        <w:spacing w:line="360" w:lineRule="auto"/>
        <w:ind w:firstLine="480"/>
        <w:outlineLvl w:val="1"/>
        <w:rPr>
          <w:rFonts w:ascii="宋体" w:hAnsi="宋体" w:cs="仿宋"/>
          <w:bCs/>
          <w:color w:val="auto"/>
          <w:sz w:val="24"/>
          <w:szCs w:val="24"/>
        </w:rPr>
      </w:pPr>
      <w:bookmarkStart w:id="42" w:name="_Toc1660502"/>
      <w:r>
        <w:rPr>
          <w:rFonts w:hint="eastAsia" w:ascii="宋体" w:hAnsi="宋体" w:cs="仿宋"/>
          <w:bCs/>
          <w:color w:val="auto"/>
          <w:sz w:val="24"/>
          <w:szCs w:val="24"/>
        </w:rPr>
        <w:t>25.3采购人如需追加与合同标的相同的货物，在不改变合同其他条款的前提下，成交供应商可与采购人协商签订补充合同，但所有补充合同的采购金额不得超过原合同金额的10%。</w:t>
      </w:r>
      <w:bookmarkEnd w:id="42"/>
    </w:p>
    <w:p>
      <w:pPr>
        <w:spacing w:line="360" w:lineRule="auto"/>
        <w:ind w:firstLine="480"/>
        <w:outlineLvl w:val="1"/>
        <w:rPr>
          <w:rFonts w:ascii="宋体" w:hAnsi="宋体" w:cs="仿宋"/>
          <w:bCs/>
          <w:color w:val="auto"/>
          <w:sz w:val="24"/>
          <w:szCs w:val="24"/>
        </w:rPr>
      </w:pPr>
      <w:bookmarkStart w:id="43" w:name="_Toc1660503"/>
      <w:r>
        <w:rPr>
          <w:rFonts w:hint="eastAsia" w:ascii="宋体" w:hAnsi="宋体" w:cs="仿宋"/>
          <w:bCs/>
          <w:color w:val="auto"/>
          <w:sz w:val="24"/>
          <w:szCs w:val="24"/>
        </w:rPr>
        <w:t>25.4供应商成交及签订合同后，不得擅自转包。</w:t>
      </w:r>
      <w:bookmarkEnd w:id="43"/>
    </w:p>
    <w:p>
      <w:pPr>
        <w:spacing w:line="360" w:lineRule="auto"/>
        <w:outlineLvl w:val="1"/>
        <w:rPr>
          <w:rFonts w:ascii="宋体" w:hAnsi="宋体" w:cs="仿宋"/>
          <w:b/>
          <w:color w:val="auto"/>
          <w:sz w:val="24"/>
          <w:szCs w:val="24"/>
        </w:rPr>
      </w:pPr>
      <w:bookmarkStart w:id="44" w:name="_Toc217446069"/>
      <w:bookmarkStart w:id="45" w:name="_Toc1660504"/>
      <w:r>
        <w:rPr>
          <w:rFonts w:hint="eastAsia" w:ascii="宋体" w:hAnsi="宋体" w:cs="仿宋"/>
          <w:b/>
          <w:color w:val="auto"/>
          <w:sz w:val="24"/>
          <w:szCs w:val="24"/>
        </w:rPr>
        <w:t>26.合同</w:t>
      </w:r>
      <w:bookmarkEnd w:id="44"/>
      <w:r>
        <w:rPr>
          <w:rFonts w:hint="eastAsia" w:ascii="宋体" w:hAnsi="宋体" w:cs="仿宋"/>
          <w:b/>
          <w:color w:val="auto"/>
          <w:sz w:val="24"/>
          <w:szCs w:val="24"/>
        </w:rPr>
        <w:t>履行</w:t>
      </w:r>
      <w:bookmarkEnd w:id="45"/>
    </w:p>
    <w:p>
      <w:pPr>
        <w:spacing w:line="360" w:lineRule="auto"/>
        <w:ind w:firstLine="480"/>
        <w:outlineLvl w:val="1"/>
        <w:rPr>
          <w:rFonts w:ascii="宋体" w:hAnsi="宋体" w:cs="仿宋"/>
          <w:bCs/>
          <w:color w:val="auto"/>
          <w:sz w:val="24"/>
          <w:szCs w:val="24"/>
        </w:rPr>
      </w:pPr>
      <w:bookmarkStart w:id="46" w:name="_Toc1660505"/>
      <w:r>
        <w:rPr>
          <w:rFonts w:hint="eastAsia" w:ascii="宋体" w:hAnsi="宋体" w:cs="仿宋"/>
          <w:bCs/>
          <w:color w:val="auto"/>
          <w:sz w:val="24"/>
          <w:szCs w:val="24"/>
        </w:rPr>
        <w:t>26.1成交供应商与采购人签订合同后，合同双方应严格执行合同条款，履行合同规定的义务，保证合同的顺利完成。</w:t>
      </w:r>
      <w:bookmarkEnd w:id="46"/>
    </w:p>
    <w:p>
      <w:pPr>
        <w:spacing w:line="360" w:lineRule="auto"/>
        <w:ind w:firstLine="480"/>
        <w:outlineLvl w:val="1"/>
        <w:rPr>
          <w:rFonts w:ascii="宋体" w:hAnsi="宋体" w:cs="仿宋"/>
          <w:bCs/>
          <w:color w:val="auto"/>
          <w:sz w:val="24"/>
          <w:szCs w:val="24"/>
        </w:rPr>
      </w:pPr>
      <w:bookmarkStart w:id="47" w:name="_Toc1660506"/>
      <w:r>
        <w:rPr>
          <w:rFonts w:hint="eastAsia" w:ascii="宋体" w:hAnsi="宋体" w:cs="仿宋"/>
          <w:bCs/>
          <w:color w:val="auto"/>
          <w:sz w:val="24"/>
          <w:szCs w:val="24"/>
        </w:rPr>
        <w:t>26.2在合同履行过程中，如发生合同纠纷，合同双方应按照《合同法》的有关规定进行处理。</w:t>
      </w:r>
      <w:bookmarkEnd w:id="47"/>
    </w:p>
    <w:p>
      <w:pPr>
        <w:spacing w:line="360" w:lineRule="auto"/>
        <w:outlineLvl w:val="1"/>
        <w:rPr>
          <w:rFonts w:ascii="宋体" w:hAnsi="宋体" w:cs="仿宋"/>
          <w:bCs/>
          <w:color w:val="auto"/>
          <w:sz w:val="24"/>
          <w:szCs w:val="24"/>
        </w:rPr>
      </w:pPr>
      <w:bookmarkStart w:id="48" w:name="_Toc217446070"/>
      <w:bookmarkStart w:id="49" w:name="_Toc1660507"/>
      <w:r>
        <w:rPr>
          <w:rFonts w:hint="eastAsia" w:ascii="宋体" w:hAnsi="宋体" w:cs="仿宋"/>
          <w:b/>
          <w:color w:val="auto"/>
          <w:sz w:val="24"/>
          <w:szCs w:val="24"/>
        </w:rPr>
        <w:t>27.验收</w:t>
      </w:r>
      <w:bookmarkEnd w:id="48"/>
      <w:r>
        <w:rPr>
          <w:rFonts w:hint="eastAsia" w:ascii="宋体" w:hAnsi="宋体" w:cs="仿宋"/>
          <w:bCs/>
          <w:color w:val="auto"/>
          <w:sz w:val="24"/>
          <w:szCs w:val="24"/>
        </w:rPr>
        <w:t>：</w:t>
      </w:r>
      <w:bookmarkEnd w:id="49"/>
    </w:p>
    <w:p>
      <w:pPr>
        <w:spacing w:line="360" w:lineRule="auto"/>
        <w:ind w:firstLine="480" w:firstLineChars="200"/>
        <w:outlineLvl w:val="1"/>
        <w:rPr>
          <w:rFonts w:ascii="宋体" w:hAnsi="宋体" w:cs="仿宋"/>
          <w:bCs/>
          <w:color w:val="auto"/>
          <w:sz w:val="24"/>
          <w:szCs w:val="24"/>
        </w:rPr>
      </w:pPr>
      <w:bookmarkStart w:id="50" w:name="_Toc1660508"/>
      <w:r>
        <w:rPr>
          <w:rFonts w:hint="eastAsia" w:ascii="宋体" w:hAnsi="宋体" w:cs="仿宋"/>
          <w:bCs/>
          <w:color w:val="auto"/>
          <w:sz w:val="24"/>
          <w:szCs w:val="24"/>
        </w:rPr>
        <w:t>成交供应商与采购人应严格按照要求进行验收。</w:t>
      </w:r>
      <w:bookmarkEnd w:id="50"/>
    </w:p>
    <w:p>
      <w:pPr>
        <w:spacing w:line="360" w:lineRule="auto"/>
        <w:outlineLvl w:val="1"/>
        <w:rPr>
          <w:rFonts w:ascii="宋体" w:hAnsi="宋体" w:cs="仿宋"/>
          <w:bCs/>
          <w:color w:val="auto"/>
          <w:sz w:val="24"/>
          <w:szCs w:val="24"/>
        </w:rPr>
      </w:pPr>
    </w:p>
    <w:p>
      <w:pPr>
        <w:spacing w:line="360" w:lineRule="auto"/>
        <w:ind w:firstLine="561"/>
        <w:jc w:val="center"/>
        <w:outlineLvl w:val="1"/>
        <w:rPr>
          <w:rFonts w:ascii="宋体" w:hAnsi="宋体" w:cs="黑体"/>
          <w:b/>
          <w:color w:val="auto"/>
          <w:sz w:val="24"/>
        </w:rPr>
      </w:pPr>
      <w:bookmarkStart w:id="51" w:name="_Toc1660509"/>
      <w:r>
        <w:rPr>
          <w:rFonts w:hint="eastAsia" w:ascii="宋体" w:hAnsi="宋体" w:cs="黑体"/>
          <w:b/>
          <w:color w:val="auto"/>
          <w:sz w:val="24"/>
        </w:rPr>
        <w:t>六、质疑</w:t>
      </w:r>
      <w:bookmarkEnd w:id="51"/>
    </w:p>
    <w:p>
      <w:pPr>
        <w:spacing w:line="360" w:lineRule="auto"/>
        <w:outlineLvl w:val="1"/>
        <w:rPr>
          <w:rFonts w:ascii="宋体" w:hAnsi="宋体" w:cs="仿宋"/>
          <w:bCs/>
          <w:color w:val="auto"/>
          <w:sz w:val="24"/>
          <w:szCs w:val="24"/>
        </w:rPr>
      </w:pPr>
      <w:bookmarkStart w:id="52" w:name="_Toc1660510"/>
      <w:r>
        <w:rPr>
          <w:rFonts w:hint="eastAsia" w:ascii="宋体" w:hAnsi="宋体" w:cs="仿宋"/>
          <w:b/>
          <w:color w:val="auto"/>
          <w:sz w:val="24"/>
          <w:szCs w:val="24"/>
        </w:rPr>
        <w:t>28.质疑提出</w:t>
      </w:r>
      <w:bookmarkEnd w:id="52"/>
    </w:p>
    <w:p>
      <w:pPr>
        <w:spacing w:line="360" w:lineRule="auto"/>
        <w:ind w:firstLine="480" w:firstLineChars="200"/>
        <w:outlineLvl w:val="1"/>
        <w:rPr>
          <w:rFonts w:ascii="宋体" w:hAnsi="宋体" w:cs="仿宋"/>
          <w:bCs/>
          <w:color w:val="auto"/>
          <w:sz w:val="24"/>
          <w:szCs w:val="24"/>
        </w:rPr>
      </w:pPr>
      <w:bookmarkStart w:id="53" w:name="_Toc1660511"/>
      <w:r>
        <w:rPr>
          <w:rFonts w:hint="eastAsia" w:ascii="宋体" w:hAnsi="宋体" w:cs="仿宋"/>
          <w:bCs/>
          <w:color w:val="auto"/>
          <w:sz w:val="24"/>
          <w:szCs w:val="24"/>
        </w:rPr>
        <w:t>28.1供应商认为竞争性谈判文件、采购过程和中标结果使自己的合法权益受到损害的，可以在知道或者应知其权益受到损害之日起七个工作日内，以书面形式向采购人、采购代理机构提出质疑。</w:t>
      </w:r>
      <w:bookmarkEnd w:id="53"/>
    </w:p>
    <w:p>
      <w:pPr>
        <w:spacing w:line="360" w:lineRule="auto"/>
        <w:ind w:firstLine="480" w:firstLineChars="200"/>
        <w:outlineLvl w:val="1"/>
        <w:rPr>
          <w:rFonts w:ascii="宋体" w:hAnsi="宋体" w:cs="仿宋"/>
          <w:bCs/>
          <w:color w:val="auto"/>
          <w:sz w:val="24"/>
          <w:szCs w:val="24"/>
        </w:rPr>
      </w:pPr>
      <w:bookmarkStart w:id="54" w:name="_Toc1660512"/>
      <w:r>
        <w:rPr>
          <w:rFonts w:hint="eastAsia" w:ascii="宋体" w:hAnsi="宋体" w:cs="仿宋"/>
          <w:bCs/>
          <w:color w:val="auto"/>
          <w:sz w:val="24"/>
          <w:szCs w:val="24"/>
        </w:rPr>
        <w:t>28.2供应商在法定质疑期内须一次性提出针对同一采购程序环节的质疑，采购人、采购代理机构在任何情况下有权拒绝接受供应商在法定质疑期多次性提出针对同一采购程序环节的质疑。</w:t>
      </w:r>
      <w:bookmarkEnd w:id="54"/>
    </w:p>
    <w:p>
      <w:pPr>
        <w:spacing w:line="360" w:lineRule="auto"/>
        <w:ind w:firstLine="480" w:firstLineChars="200"/>
        <w:outlineLvl w:val="1"/>
        <w:rPr>
          <w:rFonts w:ascii="宋体" w:hAnsi="宋体" w:cs="仿宋"/>
          <w:bCs/>
          <w:color w:val="auto"/>
          <w:sz w:val="24"/>
          <w:szCs w:val="24"/>
        </w:rPr>
      </w:pPr>
      <w:bookmarkStart w:id="55" w:name="_Toc1660513"/>
      <w:r>
        <w:rPr>
          <w:rFonts w:hint="eastAsia" w:ascii="宋体" w:hAnsi="宋体" w:cs="仿宋"/>
          <w:bCs/>
          <w:color w:val="auto"/>
          <w:sz w:val="24"/>
          <w:szCs w:val="24"/>
        </w:rPr>
        <w:t>28.3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bookmarkEnd w:id="55"/>
    </w:p>
    <w:p>
      <w:pPr>
        <w:spacing w:line="360" w:lineRule="auto"/>
        <w:ind w:firstLine="480" w:firstLineChars="200"/>
        <w:outlineLvl w:val="1"/>
        <w:rPr>
          <w:rFonts w:ascii="宋体" w:hAnsi="宋体" w:cs="仿宋"/>
          <w:bCs/>
          <w:color w:val="auto"/>
          <w:sz w:val="24"/>
          <w:szCs w:val="24"/>
        </w:rPr>
      </w:pPr>
      <w:bookmarkStart w:id="56" w:name="_Toc1660514"/>
      <w:r>
        <w:rPr>
          <w:rFonts w:hint="eastAsia" w:ascii="宋体" w:hAnsi="宋体" w:cs="仿宋"/>
          <w:bCs/>
          <w:color w:val="auto"/>
          <w:sz w:val="24"/>
          <w:szCs w:val="24"/>
        </w:rPr>
        <w:t>代理人提出质疑和投诉，应当提交供应商签署的授权委托书。</w:t>
      </w:r>
      <w:bookmarkEnd w:id="56"/>
    </w:p>
    <w:p>
      <w:pPr>
        <w:spacing w:line="360" w:lineRule="auto"/>
        <w:outlineLvl w:val="1"/>
        <w:rPr>
          <w:rFonts w:ascii="宋体" w:hAnsi="宋体" w:cs="仿宋"/>
          <w:bCs/>
          <w:color w:val="auto"/>
          <w:sz w:val="24"/>
          <w:szCs w:val="24"/>
        </w:rPr>
      </w:pPr>
      <w:bookmarkStart w:id="57" w:name="_Toc1660515"/>
      <w:r>
        <w:rPr>
          <w:rFonts w:hint="eastAsia" w:ascii="宋体" w:hAnsi="宋体" w:cs="仿宋"/>
          <w:b/>
          <w:color w:val="auto"/>
          <w:sz w:val="24"/>
          <w:szCs w:val="24"/>
        </w:rPr>
        <w:t>29.质疑函</w:t>
      </w:r>
      <w:bookmarkEnd w:id="57"/>
    </w:p>
    <w:p>
      <w:pPr>
        <w:spacing w:line="360" w:lineRule="auto"/>
        <w:ind w:firstLine="480" w:firstLineChars="200"/>
        <w:outlineLvl w:val="1"/>
        <w:rPr>
          <w:rFonts w:ascii="宋体" w:hAnsi="宋体" w:cs="仿宋"/>
          <w:bCs/>
          <w:color w:val="auto"/>
          <w:sz w:val="24"/>
          <w:szCs w:val="24"/>
        </w:rPr>
      </w:pPr>
      <w:bookmarkStart w:id="58" w:name="_Toc1660516"/>
      <w:r>
        <w:rPr>
          <w:rFonts w:hint="eastAsia" w:ascii="宋体" w:hAnsi="宋体" w:cs="仿宋"/>
          <w:bCs/>
          <w:color w:val="auto"/>
          <w:sz w:val="24"/>
          <w:szCs w:val="24"/>
        </w:rPr>
        <w:t>29.1 质疑函须使用财政部制定的政府采购供应商质疑函范本进行编写。</w:t>
      </w:r>
      <w:bookmarkEnd w:id="58"/>
    </w:p>
    <w:p>
      <w:pPr>
        <w:spacing w:line="360" w:lineRule="auto"/>
        <w:ind w:firstLine="480" w:firstLineChars="200"/>
        <w:outlineLvl w:val="1"/>
        <w:rPr>
          <w:rFonts w:ascii="宋体" w:hAnsi="宋体" w:cs="仿宋"/>
          <w:bCs/>
          <w:color w:val="auto"/>
          <w:sz w:val="24"/>
          <w:szCs w:val="24"/>
        </w:rPr>
      </w:pPr>
      <w:bookmarkStart w:id="59" w:name="_Toc1660517"/>
      <w:r>
        <w:rPr>
          <w:rFonts w:hint="eastAsia" w:ascii="宋体" w:hAnsi="宋体" w:cs="仿宋"/>
          <w:bCs/>
          <w:color w:val="auto"/>
          <w:sz w:val="24"/>
          <w:szCs w:val="24"/>
        </w:rPr>
        <w:t>29.2质疑函包括下列内容：</w:t>
      </w:r>
      <w:bookmarkEnd w:id="59"/>
    </w:p>
    <w:p>
      <w:pPr>
        <w:spacing w:line="360" w:lineRule="auto"/>
        <w:ind w:firstLine="480" w:firstLineChars="200"/>
        <w:outlineLvl w:val="1"/>
        <w:rPr>
          <w:rFonts w:ascii="宋体" w:hAnsi="宋体" w:cs="仿宋"/>
          <w:bCs/>
          <w:color w:val="auto"/>
          <w:sz w:val="24"/>
          <w:szCs w:val="24"/>
        </w:rPr>
      </w:pPr>
      <w:bookmarkStart w:id="60" w:name="_Toc1660518"/>
      <w:r>
        <w:rPr>
          <w:rFonts w:hint="eastAsia" w:ascii="宋体" w:hAnsi="宋体" w:cs="仿宋"/>
          <w:bCs/>
          <w:color w:val="auto"/>
          <w:sz w:val="24"/>
          <w:szCs w:val="24"/>
        </w:rPr>
        <w:t>（1）供应商的姓名或者名称、地址、邮编、联系人及联系电话；</w:t>
      </w:r>
      <w:bookmarkEnd w:id="60"/>
    </w:p>
    <w:p>
      <w:pPr>
        <w:spacing w:line="360" w:lineRule="auto"/>
        <w:ind w:firstLine="480" w:firstLineChars="200"/>
        <w:outlineLvl w:val="1"/>
        <w:rPr>
          <w:rFonts w:ascii="宋体" w:hAnsi="宋体" w:cs="仿宋"/>
          <w:bCs/>
          <w:color w:val="auto"/>
          <w:sz w:val="24"/>
          <w:szCs w:val="24"/>
        </w:rPr>
      </w:pPr>
      <w:bookmarkStart w:id="61" w:name="_Toc1660519"/>
      <w:r>
        <w:rPr>
          <w:rFonts w:hint="eastAsia" w:ascii="宋体" w:hAnsi="宋体" w:cs="仿宋"/>
          <w:bCs/>
          <w:color w:val="auto"/>
          <w:sz w:val="24"/>
          <w:szCs w:val="24"/>
        </w:rPr>
        <w:t>（2）质疑项目的名称、编号；</w:t>
      </w:r>
      <w:bookmarkEnd w:id="61"/>
    </w:p>
    <w:p>
      <w:pPr>
        <w:spacing w:line="360" w:lineRule="auto"/>
        <w:ind w:firstLine="480" w:firstLineChars="200"/>
        <w:outlineLvl w:val="1"/>
        <w:rPr>
          <w:rFonts w:ascii="宋体" w:hAnsi="宋体" w:cs="仿宋"/>
          <w:bCs/>
          <w:color w:val="auto"/>
          <w:sz w:val="24"/>
          <w:szCs w:val="24"/>
        </w:rPr>
      </w:pPr>
      <w:bookmarkStart w:id="62" w:name="_Toc1660520"/>
      <w:r>
        <w:rPr>
          <w:rFonts w:hint="eastAsia" w:ascii="宋体" w:hAnsi="宋体" w:cs="仿宋"/>
          <w:bCs/>
          <w:color w:val="auto"/>
          <w:sz w:val="24"/>
          <w:szCs w:val="24"/>
        </w:rPr>
        <w:t>（3）具体、明确的质疑事项和与质疑事项相关的请求；</w:t>
      </w:r>
      <w:bookmarkEnd w:id="62"/>
    </w:p>
    <w:p>
      <w:pPr>
        <w:spacing w:line="360" w:lineRule="auto"/>
        <w:ind w:firstLine="480" w:firstLineChars="200"/>
        <w:outlineLvl w:val="1"/>
        <w:rPr>
          <w:rFonts w:ascii="宋体" w:hAnsi="宋体" w:cs="仿宋"/>
          <w:bCs/>
          <w:color w:val="auto"/>
          <w:sz w:val="24"/>
          <w:szCs w:val="24"/>
        </w:rPr>
      </w:pPr>
      <w:bookmarkStart w:id="63" w:name="_Toc1660521"/>
      <w:r>
        <w:rPr>
          <w:rFonts w:hint="eastAsia" w:ascii="宋体" w:hAnsi="宋体" w:cs="仿宋"/>
          <w:bCs/>
          <w:color w:val="auto"/>
          <w:sz w:val="24"/>
          <w:szCs w:val="24"/>
        </w:rPr>
        <w:t>（4）事实依据；</w:t>
      </w:r>
      <w:bookmarkEnd w:id="63"/>
    </w:p>
    <w:p>
      <w:pPr>
        <w:spacing w:line="360" w:lineRule="auto"/>
        <w:ind w:firstLine="480" w:firstLineChars="200"/>
        <w:outlineLvl w:val="1"/>
        <w:rPr>
          <w:rFonts w:ascii="宋体" w:hAnsi="宋体" w:cs="仿宋"/>
          <w:bCs/>
          <w:color w:val="auto"/>
          <w:sz w:val="24"/>
          <w:szCs w:val="24"/>
        </w:rPr>
      </w:pPr>
      <w:bookmarkStart w:id="64" w:name="_Toc1660522"/>
      <w:r>
        <w:rPr>
          <w:rFonts w:hint="eastAsia" w:ascii="宋体" w:hAnsi="宋体" w:cs="仿宋"/>
          <w:bCs/>
          <w:color w:val="auto"/>
          <w:sz w:val="24"/>
          <w:szCs w:val="24"/>
        </w:rPr>
        <w:t>（5）必要的法律依据；</w:t>
      </w:r>
      <w:bookmarkEnd w:id="64"/>
    </w:p>
    <w:p>
      <w:pPr>
        <w:spacing w:line="360" w:lineRule="auto"/>
        <w:ind w:firstLine="480" w:firstLineChars="200"/>
        <w:outlineLvl w:val="1"/>
        <w:rPr>
          <w:rFonts w:ascii="宋体" w:hAnsi="宋体" w:cs="仿宋"/>
          <w:bCs/>
          <w:color w:val="auto"/>
          <w:sz w:val="24"/>
          <w:szCs w:val="24"/>
        </w:rPr>
      </w:pPr>
      <w:bookmarkStart w:id="65" w:name="_Toc1660523"/>
      <w:r>
        <w:rPr>
          <w:rFonts w:hint="eastAsia" w:ascii="宋体" w:hAnsi="宋体" w:cs="仿宋"/>
          <w:bCs/>
          <w:color w:val="auto"/>
          <w:sz w:val="24"/>
          <w:szCs w:val="24"/>
        </w:rPr>
        <w:t>（6）提出质疑的日期。</w:t>
      </w:r>
      <w:bookmarkEnd w:id="65"/>
    </w:p>
    <w:p>
      <w:pPr>
        <w:spacing w:line="360" w:lineRule="auto"/>
        <w:ind w:firstLine="480" w:firstLineChars="200"/>
        <w:outlineLvl w:val="1"/>
        <w:rPr>
          <w:rFonts w:ascii="宋体" w:hAnsi="宋体" w:cs="仿宋"/>
          <w:bCs/>
          <w:color w:val="auto"/>
          <w:sz w:val="24"/>
          <w:szCs w:val="24"/>
        </w:rPr>
      </w:pPr>
      <w:bookmarkStart w:id="66" w:name="_Toc1660524"/>
      <w:r>
        <w:rPr>
          <w:rFonts w:hint="eastAsia" w:ascii="宋体" w:hAnsi="宋体" w:cs="仿宋"/>
          <w:bCs/>
          <w:color w:val="auto"/>
          <w:sz w:val="24"/>
          <w:szCs w:val="24"/>
        </w:rPr>
        <w:t>按照“谁主张、谁举证”的原则，质疑书应当附上相关证明材料，否则质疑将视为无有效证据支持，将被予以驳回。</w:t>
      </w:r>
      <w:bookmarkEnd w:id="66"/>
    </w:p>
    <w:p>
      <w:pPr>
        <w:spacing w:line="360" w:lineRule="auto"/>
        <w:ind w:firstLine="480" w:firstLineChars="200"/>
        <w:outlineLvl w:val="1"/>
        <w:rPr>
          <w:rFonts w:ascii="宋体" w:hAnsi="宋体" w:cs="仿宋"/>
          <w:bCs/>
          <w:color w:val="auto"/>
          <w:sz w:val="24"/>
          <w:szCs w:val="24"/>
        </w:rPr>
      </w:pPr>
      <w:bookmarkStart w:id="67" w:name="_Toc1660525"/>
      <w:r>
        <w:rPr>
          <w:rFonts w:hint="eastAsia" w:ascii="宋体" w:hAnsi="宋体" w:cs="仿宋"/>
          <w:bCs/>
          <w:color w:val="auto"/>
          <w:sz w:val="24"/>
          <w:szCs w:val="24"/>
        </w:rPr>
        <w:t>29.3供应商为自然人的，应当由本人签字；供应商为法人或者其他组织的，应当由法定代表人、主要负责人，或者其响应代表签字或者盖章，并加盖单位公章，不得加盖合同专用章、投标专用章等各种形式的专用章。</w:t>
      </w:r>
      <w:bookmarkEnd w:id="67"/>
    </w:p>
    <w:p>
      <w:pPr>
        <w:spacing w:line="360" w:lineRule="auto"/>
        <w:outlineLvl w:val="1"/>
        <w:rPr>
          <w:rFonts w:ascii="宋体" w:hAnsi="宋体" w:cs="仿宋"/>
          <w:bCs/>
          <w:color w:val="auto"/>
          <w:sz w:val="24"/>
          <w:szCs w:val="24"/>
        </w:rPr>
      </w:pPr>
      <w:bookmarkStart w:id="68" w:name="_Toc1660526"/>
      <w:r>
        <w:rPr>
          <w:rFonts w:hint="eastAsia" w:ascii="宋体" w:hAnsi="宋体" w:cs="仿宋"/>
          <w:b/>
          <w:color w:val="auto"/>
          <w:sz w:val="24"/>
          <w:szCs w:val="24"/>
        </w:rPr>
        <w:t>30.质疑受理</w:t>
      </w:r>
      <w:bookmarkEnd w:id="68"/>
    </w:p>
    <w:p>
      <w:pPr>
        <w:spacing w:line="360" w:lineRule="auto"/>
        <w:ind w:firstLine="480" w:firstLineChars="200"/>
        <w:outlineLvl w:val="1"/>
        <w:rPr>
          <w:rFonts w:ascii="宋体" w:hAnsi="宋体" w:cs="仿宋"/>
          <w:bCs/>
          <w:color w:val="auto"/>
          <w:sz w:val="24"/>
          <w:szCs w:val="24"/>
        </w:rPr>
      </w:pPr>
      <w:bookmarkStart w:id="69" w:name="_Toc1660527"/>
      <w:r>
        <w:rPr>
          <w:rFonts w:hint="eastAsia" w:ascii="宋体" w:hAnsi="宋体" w:cs="仿宋"/>
          <w:bCs/>
          <w:color w:val="auto"/>
          <w:sz w:val="24"/>
          <w:szCs w:val="24"/>
        </w:rPr>
        <w:t>30.1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bookmarkEnd w:id="69"/>
    </w:p>
    <w:p>
      <w:pPr>
        <w:spacing w:line="360" w:lineRule="auto"/>
        <w:ind w:firstLine="480" w:firstLineChars="200"/>
        <w:outlineLvl w:val="1"/>
        <w:rPr>
          <w:rFonts w:ascii="宋体" w:hAnsi="宋体" w:cs="仿宋"/>
          <w:bCs/>
          <w:color w:val="auto"/>
          <w:sz w:val="24"/>
          <w:szCs w:val="24"/>
        </w:rPr>
      </w:pPr>
      <w:bookmarkStart w:id="70" w:name="_Toc1660528"/>
      <w:r>
        <w:rPr>
          <w:rFonts w:hint="eastAsia" w:ascii="宋体" w:hAnsi="宋体" w:cs="仿宋"/>
          <w:bCs/>
          <w:color w:val="auto"/>
          <w:sz w:val="24"/>
          <w:szCs w:val="24"/>
        </w:rPr>
        <w:t>以邮寄、快递方式递交质疑函的，质疑人可以在质疑有效期内以清晰扫描及时将质疑事项告知代理机构，并提供邮寄件、快递件的有效查询方式。</w:t>
      </w:r>
      <w:bookmarkEnd w:id="70"/>
    </w:p>
    <w:p>
      <w:pPr>
        <w:spacing w:line="360" w:lineRule="auto"/>
        <w:ind w:firstLine="480" w:firstLineChars="200"/>
        <w:outlineLvl w:val="1"/>
        <w:rPr>
          <w:rFonts w:ascii="宋体" w:hAnsi="宋体" w:cs="仿宋"/>
          <w:bCs/>
          <w:color w:val="auto"/>
          <w:sz w:val="24"/>
          <w:szCs w:val="24"/>
        </w:rPr>
      </w:pPr>
      <w:bookmarkStart w:id="71" w:name="_Toc1660529"/>
      <w:r>
        <w:rPr>
          <w:rFonts w:hint="eastAsia" w:ascii="宋体" w:hAnsi="宋体" w:cs="仿宋"/>
          <w:bCs/>
          <w:color w:val="auto"/>
          <w:sz w:val="24"/>
          <w:szCs w:val="24"/>
        </w:rPr>
        <w:t>30.2 质疑函接收信息</w:t>
      </w:r>
      <w:bookmarkEnd w:id="71"/>
    </w:p>
    <w:p>
      <w:pPr>
        <w:spacing w:line="360" w:lineRule="auto"/>
        <w:ind w:firstLine="480" w:firstLineChars="200"/>
        <w:outlineLvl w:val="1"/>
        <w:rPr>
          <w:rFonts w:ascii="宋体" w:hAnsi="宋体" w:cs="仿宋"/>
          <w:bCs/>
          <w:color w:val="auto"/>
          <w:sz w:val="24"/>
          <w:szCs w:val="24"/>
        </w:rPr>
      </w:pPr>
      <w:bookmarkStart w:id="72" w:name="_Toc1660530"/>
      <w:r>
        <w:rPr>
          <w:rFonts w:hint="eastAsia" w:ascii="宋体" w:hAnsi="宋体" w:cs="仿宋"/>
          <w:bCs/>
          <w:color w:val="auto"/>
          <w:sz w:val="24"/>
          <w:szCs w:val="24"/>
        </w:rPr>
        <w:t>联系部门：</w:t>
      </w:r>
      <w:r>
        <w:rPr>
          <w:rFonts w:hint="eastAsia" w:ascii="宋体" w:hAnsi="宋体" w:cs="仿宋"/>
          <w:bCs/>
          <w:color w:val="auto"/>
          <w:sz w:val="24"/>
          <w:szCs w:val="24"/>
          <w:lang w:eastAsia="zh-CN"/>
        </w:rPr>
        <w:t>海南众采招标代理有限公司</w:t>
      </w:r>
      <w:r>
        <w:rPr>
          <w:rFonts w:hint="eastAsia" w:ascii="宋体" w:hAnsi="宋体" w:cs="仿宋"/>
          <w:bCs/>
          <w:color w:val="auto"/>
          <w:sz w:val="24"/>
          <w:szCs w:val="24"/>
        </w:rPr>
        <w:t>—项目部</w:t>
      </w:r>
      <w:bookmarkEnd w:id="72"/>
    </w:p>
    <w:p>
      <w:pPr>
        <w:spacing w:line="360" w:lineRule="auto"/>
        <w:ind w:firstLine="480" w:firstLineChars="200"/>
        <w:outlineLvl w:val="1"/>
        <w:rPr>
          <w:rFonts w:hint="eastAsia" w:ascii="宋体" w:hAnsi="宋体" w:eastAsia="宋体" w:cs="仿宋"/>
          <w:bCs/>
          <w:color w:val="auto"/>
          <w:sz w:val="24"/>
          <w:szCs w:val="24"/>
          <w:lang w:eastAsia="zh-CN"/>
        </w:rPr>
      </w:pPr>
      <w:bookmarkStart w:id="73" w:name="_Toc1660531"/>
      <w:r>
        <w:rPr>
          <w:rFonts w:hint="eastAsia" w:ascii="宋体" w:hAnsi="宋体" w:cs="仿宋"/>
          <w:bCs/>
          <w:color w:val="auto"/>
          <w:sz w:val="24"/>
          <w:szCs w:val="24"/>
        </w:rPr>
        <w:t>联系电话及联系人：</w:t>
      </w:r>
      <w:r>
        <w:rPr>
          <w:rFonts w:hint="eastAsia" w:ascii="宋体" w:hAnsi="宋体" w:cs="仿宋"/>
          <w:bCs/>
          <w:color w:val="auto"/>
          <w:sz w:val="24"/>
          <w:szCs w:val="24"/>
          <w:lang w:eastAsia="zh-CN"/>
        </w:rPr>
        <w:t>0898-65321440</w:t>
      </w:r>
      <w:r>
        <w:rPr>
          <w:rFonts w:hint="eastAsia" w:ascii="宋体" w:hAnsi="宋体" w:cs="仿宋"/>
          <w:bCs/>
          <w:color w:val="auto"/>
          <w:sz w:val="24"/>
          <w:szCs w:val="24"/>
        </w:rPr>
        <w:t xml:space="preserve">  </w:t>
      </w:r>
      <w:bookmarkEnd w:id="73"/>
      <w:r>
        <w:rPr>
          <w:rFonts w:hint="eastAsia" w:ascii="宋体" w:hAnsi="宋体" w:cs="仿宋"/>
          <w:bCs/>
          <w:color w:val="auto"/>
          <w:sz w:val="24"/>
          <w:szCs w:val="24"/>
          <w:lang w:eastAsia="zh-CN"/>
        </w:rPr>
        <w:t>蔡工</w:t>
      </w:r>
    </w:p>
    <w:p>
      <w:pPr>
        <w:spacing w:line="360" w:lineRule="auto"/>
        <w:ind w:firstLine="480" w:firstLineChars="200"/>
        <w:outlineLvl w:val="1"/>
        <w:rPr>
          <w:rFonts w:hint="eastAsia" w:ascii="宋体" w:hAnsi="宋体" w:eastAsia="宋体" w:cs="仿宋"/>
          <w:bCs/>
          <w:color w:val="auto"/>
          <w:sz w:val="24"/>
          <w:szCs w:val="24"/>
          <w:lang w:eastAsia="zh-CN"/>
        </w:rPr>
      </w:pPr>
      <w:bookmarkStart w:id="74" w:name="_Toc1660532"/>
      <w:r>
        <w:rPr>
          <w:rFonts w:hint="eastAsia" w:ascii="宋体" w:hAnsi="宋体" w:cs="仿宋"/>
          <w:bCs/>
          <w:color w:val="auto"/>
          <w:sz w:val="24"/>
          <w:szCs w:val="24"/>
        </w:rPr>
        <w:t>通讯地址：</w:t>
      </w:r>
      <w:bookmarkEnd w:id="74"/>
      <w:r>
        <w:rPr>
          <w:rFonts w:hint="eastAsia" w:ascii="宋体" w:hAnsi="宋体" w:cs="仿宋"/>
          <w:bCs/>
          <w:color w:val="auto"/>
          <w:sz w:val="24"/>
          <w:szCs w:val="24"/>
          <w:lang w:eastAsia="zh-CN"/>
        </w:rPr>
        <w:t>海南省海口市美兰区名门广场北区C栋1206室</w:t>
      </w:r>
    </w:p>
    <w:p>
      <w:pPr>
        <w:spacing w:line="360" w:lineRule="auto"/>
        <w:ind w:firstLine="480" w:firstLineChars="200"/>
        <w:outlineLvl w:val="1"/>
        <w:rPr>
          <w:rFonts w:ascii="宋体" w:hAnsi="宋体" w:cs="仿宋"/>
          <w:bCs/>
          <w:color w:val="auto"/>
          <w:sz w:val="24"/>
          <w:szCs w:val="24"/>
        </w:rPr>
      </w:pPr>
      <w:bookmarkStart w:id="75" w:name="_Toc1660533"/>
      <w:r>
        <w:rPr>
          <w:rFonts w:hint="eastAsia" w:ascii="宋体" w:hAnsi="宋体" w:cs="仿宋"/>
          <w:bCs/>
          <w:color w:val="auto"/>
          <w:sz w:val="24"/>
          <w:szCs w:val="24"/>
        </w:rPr>
        <w:t>30.3有下列情形之一的，属于无效质疑，采购人或采购代理机构可不予受理：</w:t>
      </w:r>
      <w:bookmarkEnd w:id="75"/>
    </w:p>
    <w:p>
      <w:pPr>
        <w:spacing w:line="360" w:lineRule="auto"/>
        <w:ind w:firstLine="480" w:firstLineChars="200"/>
        <w:outlineLvl w:val="1"/>
        <w:rPr>
          <w:rFonts w:ascii="宋体" w:hAnsi="宋体" w:cs="仿宋"/>
          <w:bCs/>
          <w:color w:val="auto"/>
          <w:sz w:val="24"/>
          <w:szCs w:val="24"/>
        </w:rPr>
      </w:pPr>
      <w:bookmarkStart w:id="76" w:name="_Toc1660534"/>
      <w:r>
        <w:rPr>
          <w:rFonts w:hint="eastAsia" w:ascii="宋体" w:hAnsi="宋体" w:cs="仿宋"/>
          <w:bCs/>
          <w:color w:val="auto"/>
          <w:sz w:val="24"/>
          <w:szCs w:val="24"/>
        </w:rPr>
        <w:t>（1）未在有效期限内提出质疑的；</w:t>
      </w:r>
      <w:bookmarkEnd w:id="76"/>
    </w:p>
    <w:p>
      <w:pPr>
        <w:spacing w:line="360" w:lineRule="auto"/>
        <w:ind w:firstLine="480" w:firstLineChars="200"/>
        <w:outlineLvl w:val="1"/>
        <w:rPr>
          <w:rFonts w:ascii="宋体" w:hAnsi="宋体" w:cs="仿宋"/>
          <w:bCs/>
          <w:color w:val="auto"/>
          <w:sz w:val="24"/>
          <w:szCs w:val="24"/>
        </w:rPr>
      </w:pPr>
      <w:bookmarkStart w:id="77" w:name="_Toc1660535"/>
      <w:r>
        <w:rPr>
          <w:rFonts w:hint="eastAsia" w:ascii="宋体" w:hAnsi="宋体" w:cs="仿宋"/>
          <w:bCs/>
          <w:color w:val="auto"/>
          <w:sz w:val="24"/>
          <w:szCs w:val="24"/>
        </w:rPr>
        <w:t>（2）质疑未以书面形式提出的；</w:t>
      </w:r>
      <w:bookmarkEnd w:id="77"/>
    </w:p>
    <w:p>
      <w:pPr>
        <w:spacing w:line="360" w:lineRule="auto"/>
        <w:ind w:firstLine="480" w:firstLineChars="200"/>
        <w:outlineLvl w:val="1"/>
        <w:rPr>
          <w:rFonts w:ascii="宋体" w:hAnsi="宋体" w:cs="仿宋"/>
          <w:bCs/>
          <w:color w:val="auto"/>
          <w:sz w:val="24"/>
          <w:szCs w:val="24"/>
        </w:rPr>
      </w:pPr>
      <w:bookmarkStart w:id="78" w:name="_Toc1660536"/>
      <w:r>
        <w:rPr>
          <w:rFonts w:hint="eastAsia" w:ascii="宋体" w:hAnsi="宋体" w:cs="仿宋"/>
          <w:bCs/>
          <w:color w:val="auto"/>
          <w:sz w:val="24"/>
          <w:szCs w:val="24"/>
        </w:rPr>
        <w:t>（3）所提交材料未明示属于质疑材料的；</w:t>
      </w:r>
      <w:bookmarkEnd w:id="78"/>
    </w:p>
    <w:p>
      <w:pPr>
        <w:spacing w:line="360" w:lineRule="auto"/>
        <w:ind w:firstLine="480" w:firstLineChars="200"/>
        <w:outlineLvl w:val="1"/>
        <w:rPr>
          <w:rFonts w:hint="eastAsia" w:ascii="宋体" w:hAnsi="宋体" w:cs="仿宋"/>
          <w:bCs/>
          <w:color w:val="auto"/>
          <w:sz w:val="24"/>
          <w:szCs w:val="24"/>
        </w:rPr>
      </w:pPr>
      <w:bookmarkStart w:id="79" w:name="_Toc1660537"/>
      <w:r>
        <w:rPr>
          <w:rFonts w:hint="eastAsia" w:ascii="宋体" w:hAnsi="宋体" w:cs="仿宋"/>
          <w:bCs/>
          <w:color w:val="auto"/>
          <w:sz w:val="24"/>
          <w:szCs w:val="24"/>
        </w:rPr>
        <w:t>（4）质疑事项已经进入投诉或者诉讼程序的；</w:t>
      </w:r>
      <w:bookmarkEnd w:id="79"/>
    </w:p>
    <w:p>
      <w:pPr>
        <w:spacing w:line="360" w:lineRule="auto"/>
        <w:ind w:firstLine="480" w:firstLineChars="200"/>
        <w:outlineLvl w:val="1"/>
        <w:rPr>
          <w:rFonts w:hint="eastAsia" w:ascii="宋体" w:hAnsi="宋体" w:eastAsia="宋体" w:cs="仿宋"/>
          <w:bCs/>
          <w:color w:val="auto"/>
          <w:sz w:val="24"/>
          <w:szCs w:val="24"/>
          <w:lang w:eastAsia="zh-CN"/>
        </w:rPr>
      </w:pPr>
      <w:r>
        <w:rPr>
          <w:rFonts w:hint="eastAsia" w:ascii="宋体" w:hAnsi="宋体" w:cs="仿宋"/>
          <w:bCs/>
          <w:color w:val="auto"/>
          <w:sz w:val="24"/>
          <w:szCs w:val="24"/>
          <w:lang w:eastAsia="zh-CN"/>
        </w:rPr>
        <w:t>（</w:t>
      </w:r>
      <w:r>
        <w:rPr>
          <w:rFonts w:hint="eastAsia" w:ascii="宋体" w:hAnsi="宋体" w:cs="仿宋"/>
          <w:bCs/>
          <w:color w:val="auto"/>
          <w:sz w:val="24"/>
          <w:szCs w:val="24"/>
          <w:lang w:val="en-US" w:eastAsia="zh-CN"/>
        </w:rPr>
        <w:t>5</w:t>
      </w:r>
      <w:r>
        <w:rPr>
          <w:rFonts w:hint="eastAsia" w:ascii="宋体" w:hAnsi="宋体" w:cs="仿宋"/>
          <w:bCs/>
          <w:color w:val="auto"/>
          <w:sz w:val="24"/>
          <w:szCs w:val="24"/>
          <w:lang w:eastAsia="zh-CN"/>
        </w:rPr>
        <w:t>）供应商未在法定质疑期内一次性提出针对本项目采购程序环节的质疑；</w:t>
      </w:r>
    </w:p>
    <w:p>
      <w:pPr>
        <w:spacing w:line="360" w:lineRule="auto"/>
        <w:ind w:firstLine="480" w:firstLineChars="200"/>
        <w:outlineLvl w:val="1"/>
        <w:rPr>
          <w:rFonts w:ascii="宋体" w:hAnsi="宋体" w:cs="仿宋"/>
          <w:bCs/>
          <w:color w:val="auto"/>
          <w:sz w:val="24"/>
          <w:szCs w:val="24"/>
        </w:rPr>
      </w:pPr>
      <w:bookmarkStart w:id="80" w:name="_Toc1660538"/>
      <w:r>
        <w:rPr>
          <w:rFonts w:hint="eastAsia" w:ascii="宋体" w:hAnsi="宋体" w:cs="仿宋"/>
          <w:bCs/>
          <w:color w:val="auto"/>
          <w:sz w:val="24"/>
          <w:szCs w:val="24"/>
        </w:rPr>
        <w:t>（</w:t>
      </w:r>
      <w:r>
        <w:rPr>
          <w:rFonts w:hint="eastAsia" w:ascii="宋体" w:hAnsi="宋体" w:cs="仿宋"/>
          <w:bCs/>
          <w:color w:val="auto"/>
          <w:sz w:val="24"/>
          <w:szCs w:val="24"/>
          <w:lang w:val="en-US" w:eastAsia="zh-CN"/>
        </w:rPr>
        <w:t>6</w:t>
      </w:r>
      <w:r>
        <w:rPr>
          <w:rFonts w:hint="eastAsia" w:ascii="宋体" w:hAnsi="宋体" w:cs="仿宋"/>
          <w:bCs/>
          <w:color w:val="auto"/>
          <w:sz w:val="24"/>
          <w:szCs w:val="24"/>
        </w:rPr>
        <w:t>）其它不符合受理条件的情形。</w:t>
      </w:r>
      <w:bookmarkEnd w:id="80"/>
    </w:p>
    <w:p>
      <w:pPr>
        <w:spacing w:line="360" w:lineRule="auto"/>
        <w:ind w:firstLine="480" w:firstLineChars="200"/>
        <w:outlineLvl w:val="1"/>
        <w:rPr>
          <w:rFonts w:ascii="宋体" w:hAnsi="宋体" w:cs="仿宋"/>
          <w:bCs/>
          <w:color w:val="auto"/>
          <w:sz w:val="24"/>
          <w:szCs w:val="24"/>
        </w:rPr>
      </w:pPr>
      <w:bookmarkStart w:id="81" w:name="_Toc1660539"/>
      <w:r>
        <w:rPr>
          <w:rFonts w:hint="eastAsia" w:ascii="宋体" w:hAnsi="宋体" w:cs="仿宋"/>
          <w:bCs/>
          <w:color w:val="auto"/>
          <w:sz w:val="24"/>
          <w:szCs w:val="24"/>
        </w:rPr>
        <w:t>30.4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bookmarkEnd w:id="81"/>
    </w:p>
    <w:p>
      <w:pPr>
        <w:spacing w:line="360" w:lineRule="auto"/>
        <w:ind w:firstLine="480" w:firstLineChars="200"/>
        <w:outlineLvl w:val="1"/>
        <w:rPr>
          <w:rFonts w:ascii="宋体" w:hAnsi="宋体" w:cs="仿宋"/>
          <w:bCs/>
          <w:color w:val="auto"/>
          <w:sz w:val="24"/>
          <w:szCs w:val="24"/>
        </w:rPr>
      </w:pPr>
      <w:bookmarkStart w:id="82" w:name="_Toc1660540"/>
      <w:r>
        <w:rPr>
          <w:rFonts w:hint="eastAsia" w:ascii="宋体" w:hAnsi="宋体" w:cs="仿宋"/>
          <w:bCs/>
          <w:color w:val="auto"/>
          <w:sz w:val="24"/>
          <w:szCs w:val="24"/>
        </w:rPr>
        <w:t>（1）质疑函未按照谈判须知正文28.3条要求提供的；</w:t>
      </w:r>
      <w:bookmarkEnd w:id="82"/>
    </w:p>
    <w:p>
      <w:pPr>
        <w:spacing w:line="360" w:lineRule="auto"/>
        <w:ind w:firstLine="480" w:firstLineChars="200"/>
        <w:outlineLvl w:val="1"/>
        <w:rPr>
          <w:rFonts w:ascii="宋体" w:hAnsi="宋体" w:cs="仿宋"/>
          <w:bCs/>
          <w:color w:val="auto"/>
          <w:sz w:val="24"/>
          <w:szCs w:val="24"/>
        </w:rPr>
      </w:pPr>
      <w:bookmarkStart w:id="83" w:name="_Toc1660541"/>
      <w:r>
        <w:rPr>
          <w:rFonts w:hint="eastAsia" w:ascii="宋体" w:hAnsi="宋体" w:cs="仿宋"/>
          <w:bCs/>
          <w:color w:val="auto"/>
          <w:sz w:val="24"/>
          <w:szCs w:val="24"/>
        </w:rPr>
        <w:t>（2）质疑函未按照谈判须知正文29.3条要求签署和盖章的；</w:t>
      </w:r>
      <w:bookmarkEnd w:id="83"/>
    </w:p>
    <w:p>
      <w:pPr>
        <w:spacing w:line="360" w:lineRule="auto"/>
        <w:ind w:firstLine="480" w:firstLineChars="200"/>
        <w:outlineLvl w:val="1"/>
        <w:rPr>
          <w:rFonts w:ascii="宋体" w:hAnsi="宋体" w:cs="仿宋"/>
          <w:bCs/>
          <w:color w:val="auto"/>
          <w:sz w:val="24"/>
          <w:szCs w:val="24"/>
        </w:rPr>
      </w:pPr>
      <w:bookmarkStart w:id="84" w:name="_Toc1660542"/>
      <w:r>
        <w:rPr>
          <w:rFonts w:hint="eastAsia" w:ascii="宋体" w:hAnsi="宋体" w:cs="仿宋"/>
          <w:bCs/>
          <w:color w:val="auto"/>
          <w:sz w:val="24"/>
          <w:szCs w:val="24"/>
        </w:rPr>
        <w:t>（3）质疑函未使用财政部制定的政府采购供应商质疑函范本进行编写的；</w:t>
      </w:r>
      <w:bookmarkEnd w:id="84"/>
    </w:p>
    <w:p>
      <w:pPr>
        <w:spacing w:line="360" w:lineRule="auto"/>
        <w:ind w:firstLine="480" w:firstLineChars="200"/>
        <w:outlineLvl w:val="1"/>
        <w:rPr>
          <w:rFonts w:ascii="宋体" w:hAnsi="宋体" w:cs="仿宋"/>
          <w:bCs/>
          <w:color w:val="auto"/>
          <w:sz w:val="24"/>
          <w:szCs w:val="24"/>
        </w:rPr>
      </w:pPr>
      <w:bookmarkStart w:id="85" w:name="_Toc1660543"/>
      <w:r>
        <w:rPr>
          <w:rFonts w:hint="eastAsia" w:ascii="宋体" w:hAnsi="宋体" w:cs="仿宋"/>
          <w:bCs/>
          <w:color w:val="auto"/>
          <w:sz w:val="24"/>
          <w:szCs w:val="24"/>
        </w:rPr>
        <w:t>（4）质疑函内容不全的。</w:t>
      </w:r>
      <w:bookmarkEnd w:id="85"/>
    </w:p>
    <w:p>
      <w:pPr>
        <w:spacing w:line="360" w:lineRule="auto"/>
        <w:ind w:firstLine="480" w:firstLineChars="200"/>
        <w:outlineLvl w:val="1"/>
        <w:rPr>
          <w:rFonts w:ascii="宋体" w:hAnsi="宋体" w:cs="仿宋"/>
          <w:bCs/>
          <w:color w:val="auto"/>
          <w:sz w:val="24"/>
          <w:szCs w:val="24"/>
        </w:rPr>
      </w:pPr>
      <w:bookmarkStart w:id="86" w:name="_Toc1660544"/>
      <w:r>
        <w:rPr>
          <w:rFonts w:hint="eastAsia" w:ascii="宋体" w:hAnsi="宋体" w:cs="仿宋"/>
          <w:bCs/>
          <w:color w:val="auto"/>
          <w:sz w:val="24"/>
          <w:szCs w:val="24"/>
        </w:rPr>
        <w:t>30.5代理机构应于收到质疑函后一个工作日内对质疑函的形式进行审查，符合条件的质疑，应当受理并向质疑人发出质疑签收单。收到质疑函原件并向质疑人发出质疑签收单之日，为质疑正式受理之日。</w:t>
      </w:r>
      <w:bookmarkEnd w:id="86"/>
    </w:p>
    <w:p>
      <w:pPr>
        <w:spacing w:line="360" w:lineRule="auto"/>
        <w:ind w:firstLine="480" w:firstLineChars="200"/>
        <w:outlineLvl w:val="1"/>
        <w:rPr>
          <w:rFonts w:ascii="宋体" w:hAnsi="宋体" w:cs="仿宋"/>
          <w:bCs/>
          <w:color w:val="auto"/>
          <w:sz w:val="24"/>
          <w:szCs w:val="24"/>
        </w:rPr>
      </w:pPr>
      <w:bookmarkStart w:id="87" w:name="_Toc1660545"/>
      <w:r>
        <w:rPr>
          <w:rFonts w:hint="eastAsia" w:ascii="宋体" w:hAnsi="宋体" w:cs="仿宋"/>
          <w:bCs/>
          <w:color w:val="auto"/>
          <w:sz w:val="24"/>
          <w:szCs w:val="24"/>
        </w:rPr>
        <w:t>质疑函在质疑有效期内需要修改、补充的，以提交修改或补充的质疑函原件并发出质疑签收单之日作为质疑正式受理之日。</w:t>
      </w:r>
      <w:bookmarkEnd w:id="87"/>
    </w:p>
    <w:p>
      <w:pPr>
        <w:numPr>
          <w:ilvl w:val="0"/>
          <w:numId w:val="4"/>
        </w:numPr>
        <w:spacing w:line="360" w:lineRule="auto"/>
        <w:ind w:firstLine="561"/>
        <w:jc w:val="center"/>
        <w:outlineLvl w:val="1"/>
        <w:rPr>
          <w:rFonts w:ascii="宋体" w:hAnsi="宋体" w:cs="黑体"/>
          <w:b/>
          <w:color w:val="auto"/>
          <w:sz w:val="24"/>
        </w:rPr>
      </w:pPr>
      <w:bookmarkStart w:id="88" w:name="_Toc1660546"/>
      <w:r>
        <w:rPr>
          <w:rFonts w:hint="eastAsia" w:ascii="宋体" w:hAnsi="宋体" w:cs="黑体"/>
          <w:b/>
          <w:color w:val="auto"/>
          <w:sz w:val="24"/>
        </w:rPr>
        <w:t>其他</w:t>
      </w:r>
      <w:bookmarkEnd w:id="88"/>
    </w:p>
    <w:p>
      <w:pPr>
        <w:pStyle w:val="94"/>
        <w:spacing w:line="360" w:lineRule="auto"/>
        <w:ind w:firstLine="0" w:firstLineChars="0"/>
        <w:jc w:val="left"/>
        <w:rPr>
          <w:rFonts w:ascii="宋体" w:hAnsi="宋体" w:cs="仿宋"/>
          <w:b/>
          <w:color w:val="auto"/>
          <w:sz w:val="24"/>
          <w:szCs w:val="24"/>
        </w:rPr>
      </w:pPr>
      <w:r>
        <w:rPr>
          <w:rFonts w:hint="eastAsia" w:ascii="宋体" w:hAnsi="宋体" w:cs="仿宋"/>
          <w:b/>
          <w:color w:val="auto"/>
          <w:sz w:val="24"/>
          <w:szCs w:val="24"/>
        </w:rPr>
        <w:t>31.采购项目终止</w:t>
      </w:r>
    </w:p>
    <w:p>
      <w:pPr>
        <w:pStyle w:val="94"/>
        <w:spacing w:line="360" w:lineRule="auto"/>
        <w:ind w:firstLine="480"/>
        <w:rPr>
          <w:rFonts w:ascii="宋体" w:hAnsi="宋体" w:cs="仿宋"/>
          <w:bCs/>
          <w:color w:val="auto"/>
          <w:sz w:val="24"/>
          <w:szCs w:val="24"/>
        </w:rPr>
      </w:pPr>
      <w:r>
        <w:rPr>
          <w:rFonts w:hint="eastAsia" w:ascii="宋体" w:hAnsi="宋体" w:cs="仿宋"/>
          <w:bCs/>
          <w:color w:val="auto"/>
          <w:sz w:val="24"/>
          <w:szCs w:val="24"/>
        </w:rPr>
        <w:t>31.1在谈判过程中，谈判小组发现有下列情形之一的，应当终止竞争性谈判采购活动,发布项目终止公告并说明原因，重新开展采购活动：</w:t>
      </w:r>
    </w:p>
    <w:p>
      <w:pPr>
        <w:pStyle w:val="94"/>
        <w:spacing w:line="360" w:lineRule="auto"/>
        <w:ind w:firstLine="480"/>
        <w:rPr>
          <w:rFonts w:ascii="宋体" w:hAnsi="宋体" w:cs="仿宋"/>
          <w:bCs/>
          <w:color w:val="auto"/>
          <w:sz w:val="24"/>
          <w:szCs w:val="24"/>
        </w:rPr>
      </w:pPr>
      <w:r>
        <w:rPr>
          <w:rFonts w:hint="eastAsia" w:ascii="宋体" w:hAnsi="宋体" w:cs="仿宋"/>
          <w:bCs/>
          <w:color w:val="auto"/>
          <w:sz w:val="24"/>
          <w:szCs w:val="24"/>
        </w:rPr>
        <w:t>（1）因情况变化，不再符合规定的竞争性谈判采购方式适用情形的；</w:t>
      </w:r>
    </w:p>
    <w:p>
      <w:pPr>
        <w:pStyle w:val="94"/>
        <w:spacing w:line="360" w:lineRule="auto"/>
        <w:ind w:firstLine="480"/>
        <w:rPr>
          <w:rFonts w:ascii="宋体" w:hAnsi="宋体" w:cs="仿宋"/>
          <w:bCs/>
          <w:color w:val="auto"/>
          <w:sz w:val="24"/>
          <w:szCs w:val="24"/>
        </w:rPr>
      </w:pPr>
      <w:r>
        <w:rPr>
          <w:rFonts w:hint="eastAsia" w:ascii="宋体" w:hAnsi="宋体" w:cs="仿宋"/>
          <w:bCs/>
          <w:color w:val="auto"/>
          <w:sz w:val="24"/>
          <w:szCs w:val="24"/>
        </w:rPr>
        <w:t>（2）出现影响采购公正的违法、违规行为的；</w:t>
      </w:r>
    </w:p>
    <w:p>
      <w:pPr>
        <w:pStyle w:val="94"/>
        <w:spacing w:line="360" w:lineRule="auto"/>
        <w:ind w:firstLine="480"/>
        <w:rPr>
          <w:rFonts w:ascii="宋体" w:hAnsi="宋体" w:cs="仿宋"/>
          <w:bCs/>
          <w:color w:val="auto"/>
          <w:sz w:val="24"/>
          <w:szCs w:val="24"/>
        </w:rPr>
      </w:pPr>
      <w:r>
        <w:rPr>
          <w:rFonts w:hint="eastAsia" w:ascii="宋体" w:hAnsi="宋体" w:cs="仿宋"/>
          <w:bCs/>
          <w:color w:val="auto"/>
          <w:sz w:val="24"/>
          <w:szCs w:val="24"/>
        </w:rPr>
        <w:t>（3）除《政府采购非招标采购方式管理办法》第二十一条第三款规定的情形外，在采购过程中符合要求的供应商或者报价未超过采购预算的供应商不足3家的。</w:t>
      </w:r>
    </w:p>
    <w:p>
      <w:pPr>
        <w:pStyle w:val="94"/>
        <w:spacing w:line="360" w:lineRule="auto"/>
        <w:ind w:firstLine="480"/>
        <w:rPr>
          <w:rFonts w:ascii="宋体" w:hAnsi="宋体" w:cs="仿宋"/>
          <w:bCs/>
          <w:color w:val="auto"/>
          <w:sz w:val="24"/>
          <w:szCs w:val="24"/>
        </w:rPr>
      </w:pPr>
      <w:r>
        <w:rPr>
          <w:rFonts w:hint="eastAsia" w:ascii="宋体" w:hAnsi="宋体" w:cs="仿宋"/>
          <w:bCs/>
          <w:color w:val="auto"/>
          <w:sz w:val="24"/>
          <w:szCs w:val="24"/>
        </w:rPr>
        <w:t xml:space="preserve"> 竞争性谈判采购活动终止后，谈判小组应作出书面报告。</w:t>
      </w:r>
    </w:p>
    <w:p>
      <w:pPr>
        <w:pStyle w:val="94"/>
        <w:spacing w:line="360" w:lineRule="auto"/>
        <w:ind w:firstLine="480"/>
        <w:rPr>
          <w:rFonts w:ascii="宋体" w:hAnsi="宋体" w:cs="仿宋"/>
          <w:bCs/>
          <w:color w:val="auto"/>
          <w:sz w:val="24"/>
          <w:szCs w:val="24"/>
        </w:rPr>
      </w:pPr>
      <w:r>
        <w:rPr>
          <w:rFonts w:hint="eastAsia" w:ascii="宋体" w:hAnsi="宋体" w:cs="仿宋"/>
          <w:bCs/>
          <w:color w:val="auto"/>
          <w:sz w:val="24"/>
          <w:szCs w:val="24"/>
        </w:rPr>
        <w:t>31.2在采购活动中因重大变故，采购任务取消的，采购人或者采购代理机构应当终止采购活动，通知所有参加采购活动的供应商，并将项目实施情况和采购任务取消原因报送本级财政部门。</w:t>
      </w:r>
    </w:p>
    <w:p>
      <w:pPr>
        <w:pStyle w:val="94"/>
        <w:spacing w:line="360" w:lineRule="auto"/>
        <w:ind w:firstLine="480"/>
        <w:rPr>
          <w:rFonts w:ascii="宋体" w:hAnsi="宋体" w:cs="仿宋"/>
          <w:bCs/>
          <w:color w:val="auto"/>
          <w:sz w:val="24"/>
          <w:szCs w:val="24"/>
        </w:rPr>
      </w:pPr>
      <w:r>
        <w:rPr>
          <w:rFonts w:hint="eastAsia" w:ascii="宋体" w:hAnsi="宋体" w:cs="仿宋"/>
          <w:bCs/>
          <w:color w:val="auto"/>
          <w:sz w:val="24"/>
          <w:szCs w:val="24"/>
        </w:rPr>
        <w:t>31.3.终止采购活动后，采购代理机构应当将终止采购活动原因通知所有供应商。</w:t>
      </w:r>
    </w:p>
    <w:p>
      <w:pPr>
        <w:pStyle w:val="94"/>
        <w:spacing w:line="360" w:lineRule="auto"/>
        <w:ind w:firstLine="0" w:firstLineChars="0"/>
        <w:rPr>
          <w:rFonts w:ascii="宋体" w:hAnsi="宋体" w:cs="仿宋"/>
          <w:b/>
          <w:color w:val="auto"/>
          <w:sz w:val="24"/>
          <w:szCs w:val="24"/>
        </w:rPr>
      </w:pPr>
      <w:r>
        <w:rPr>
          <w:rFonts w:hint="eastAsia" w:ascii="宋体" w:hAnsi="宋体" w:cs="仿宋"/>
          <w:b/>
          <w:color w:val="auto"/>
          <w:sz w:val="24"/>
          <w:szCs w:val="24"/>
        </w:rPr>
        <w:t>32.保密和披露</w:t>
      </w:r>
    </w:p>
    <w:p>
      <w:pPr>
        <w:pStyle w:val="94"/>
        <w:spacing w:line="360" w:lineRule="auto"/>
        <w:ind w:firstLine="480"/>
        <w:rPr>
          <w:rFonts w:ascii="宋体" w:hAnsi="宋体" w:cs="仿宋"/>
          <w:bCs/>
          <w:color w:val="auto"/>
          <w:sz w:val="24"/>
          <w:szCs w:val="24"/>
        </w:rPr>
      </w:pPr>
      <w:r>
        <w:rPr>
          <w:rFonts w:hint="eastAsia" w:ascii="宋体" w:hAnsi="宋体" w:cs="仿宋"/>
          <w:bCs/>
          <w:color w:val="auto"/>
          <w:sz w:val="24"/>
          <w:szCs w:val="24"/>
        </w:rPr>
        <w:t>32.1 供应商自领取竞争性谈判文件之日起，须履行本采购项目下保密义务，不得将因本次采购获得的信息向第三人外传。</w:t>
      </w:r>
    </w:p>
    <w:p>
      <w:pPr>
        <w:pStyle w:val="94"/>
        <w:spacing w:line="360" w:lineRule="auto"/>
        <w:ind w:firstLine="480"/>
        <w:rPr>
          <w:rFonts w:ascii="宋体" w:hAnsi="宋体" w:cs="仿宋"/>
          <w:bCs/>
          <w:color w:val="auto"/>
          <w:sz w:val="24"/>
          <w:szCs w:val="24"/>
        </w:rPr>
      </w:pPr>
      <w:r>
        <w:rPr>
          <w:rFonts w:hint="eastAsia" w:ascii="宋体" w:hAnsi="宋体" w:cs="仿宋"/>
          <w:bCs/>
          <w:color w:val="auto"/>
          <w:sz w:val="24"/>
          <w:szCs w:val="24"/>
        </w:rPr>
        <w:t>32.2采购人或采购代理机构有权将供应商提供的所有资料向有关政府部门或评审委员会披露。</w:t>
      </w:r>
    </w:p>
    <w:p>
      <w:pPr>
        <w:pStyle w:val="94"/>
        <w:spacing w:line="360" w:lineRule="auto"/>
        <w:ind w:firstLine="480"/>
        <w:rPr>
          <w:rFonts w:ascii="宋体" w:hAnsi="宋体" w:cs="仿宋"/>
          <w:bCs/>
          <w:color w:val="auto"/>
          <w:sz w:val="24"/>
          <w:szCs w:val="24"/>
        </w:rPr>
      </w:pPr>
      <w:r>
        <w:rPr>
          <w:rFonts w:hint="eastAsia" w:ascii="宋体" w:hAnsi="宋体" w:cs="仿宋"/>
          <w:bCs/>
          <w:color w:val="auto"/>
          <w:sz w:val="24"/>
          <w:szCs w:val="24"/>
        </w:rPr>
        <w:t>32.3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pStyle w:val="94"/>
        <w:spacing w:line="360" w:lineRule="auto"/>
        <w:ind w:firstLine="0" w:firstLineChars="0"/>
        <w:rPr>
          <w:rFonts w:ascii="宋体" w:hAnsi="宋体" w:cs="仿宋"/>
          <w:b/>
          <w:color w:val="auto"/>
          <w:sz w:val="24"/>
          <w:szCs w:val="24"/>
        </w:rPr>
      </w:pPr>
      <w:r>
        <w:rPr>
          <w:rFonts w:hint="eastAsia" w:ascii="宋体" w:hAnsi="宋体" w:cs="仿宋"/>
          <w:b/>
          <w:color w:val="auto"/>
          <w:sz w:val="24"/>
          <w:szCs w:val="24"/>
        </w:rPr>
        <w:t>33.法律及相关政策</w:t>
      </w:r>
    </w:p>
    <w:p>
      <w:pPr>
        <w:pStyle w:val="94"/>
        <w:spacing w:line="360" w:lineRule="auto"/>
        <w:ind w:firstLine="480"/>
        <w:rPr>
          <w:rFonts w:ascii="宋体" w:hAnsi="宋体" w:cs="仿宋"/>
          <w:bCs/>
          <w:color w:val="auto"/>
          <w:sz w:val="24"/>
          <w:szCs w:val="24"/>
        </w:rPr>
      </w:pPr>
      <w:r>
        <w:rPr>
          <w:rFonts w:hint="eastAsia" w:ascii="宋体" w:hAnsi="宋体" w:cs="仿宋"/>
          <w:bCs/>
          <w:color w:val="auto"/>
          <w:sz w:val="24"/>
          <w:szCs w:val="24"/>
        </w:rPr>
        <w:t>采购人、政府采购代理机构及供应商的一切采购响应活动均适用《政府采购法》、《政府采购法实施条例》、《政府采购质疑和投诉办法》及其配套的法规、规章、政策。</w:t>
      </w:r>
    </w:p>
    <w:p>
      <w:pPr>
        <w:pStyle w:val="7"/>
        <w:spacing w:line="360" w:lineRule="auto"/>
        <w:rPr>
          <w:rFonts w:ascii="宋体" w:hAnsi="宋体" w:eastAsia="宋体"/>
          <w:color w:val="auto"/>
        </w:rPr>
      </w:pPr>
      <w:r>
        <w:rPr>
          <w:rFonts w:ascii="宋体" w:hAnsi="宋体" w:eastAsia="宋体"/>
          <w:color w:val="auto"/>
        </w:rPr>
        <w:br w:type="page"/>
      </w:r>
    </w:p>
    <w:p>
      <w:pPr>
        <w:pStyle w:val="7"/>
        <w:spacing w:before="312" w:line="360" w:lineRule="auto"/>
        <w:ind w:firstLine="420"/>
        <w:jc w:val="center"/>
        <w:rPr>
          <w:rFonts w:ascii="宋体" w:hAnsi="宋体" w:eastAsia="宋体" w:cs="黑体"/>
          <w:color w:val="auto"/>
        </w:rPr>
      </w:pPr>
      <w:bookmarkStart w:id="89" w:name="_Toc1660548"/>
      <w:r>
        <w:rPr>
          <w:rFonts w:hint="eastAsia" w:ascii="宋体" w:hAnsi="宋体" w:eastAsia="宋体" w:cs="黑体"/>
          <w:color w:val="auto"/>
        </w:rPr>
        <w:t>第三章</w:t>
      </w:r>
      <w:r>
        <w:rPr>
          <w:rFonts w:ascii="宋体" w:hAnsi="宋体" w:eastAsia="宋体" w:cs="黑体"/>
          <w:color w:val="auto"/>
        </w:rPr>
        <w:t>、用户需求书</w:t>
      </w:r>
    </w:p>
    <w:p>
      <w:pPr>
        <w:pStyle w:val="7"/>
        <w:spacing w:before="0" w:after="0" w:line="360" w:lineRule="auto"/>
        <w:rPr>
          <w:rFonts w:hint="eastAsia" w:ascii="宋体"/>
          <w:color w:val="auto"/>
          <w:sz w:val="28"/>
          <w:szCs w:val="28"/>
        </w:rPr>
      </w:pPr>
      <w:bookmarkStart w:id="90" w:name="_Toc7053"/>
      <w:bookmarkStart w:id="91" w:name="_Toc482631973"/>
      <w:r>
        <w:rPr>
          <w:rFonts w:hint="eastAsia" w:ascii="宋体"/>
          <w:color w:val="auto"/>
          <w:sz w:val="28"/>
          <w:szCs w:val="28"/>
        </w:rPr>
        <w:t>一、项目概况</w:t>
      </w:r>
      <w:bookmarkEnd w:id="90"/>
      <w:bookmarkEnd w:id="91"/>
    </w:p>
    <w:p>
      <w:pPr>
        <w:tabs>
          <w:tab w:val="left" w:pos="780"/>
        </w:tabs>
        <w:spacing w:line="360" w:lineRule="auto"/>
        <w:rPr>
          <w:rFonts w:hint="eastAsia" w:ascii="宋体" w:hAnsi="宋体" w:cs="宋体"/>
          <w:color w:val="auto"/>
          <w:sz w:val="24"/>
          <w:szCs w:val="24"/>
          <w:lang w:eastAsia="zh-CN"/>
        </w:rPr>
      </w:pPr>
      <w:r>
        <w:rPr>
          <w:rFonts w:hint="eastAsia" w:ascii="宋体" w:hAnsi="宋体" w:eastAsia="宋体" w:cs="宋体"/>
          <w:color w:val="auto"/>
          <w:sz w:val="24"/>
          <w:szCs w:val="24"/>
        </w:rPr>
        <w:t>1、项目名称：</w:t>
      </w:r>
      <w:r>
        <w:rPr>
          <w:rFonts w:hint="eastAsia" w:ascii="宋体" w:hAnsi="宋体" w:cs="宋体"/>
          <w:color w:val="auto"/>
          <w:sz w:val="24"/>
          <w:szCs w:val="24"/>
          <w:lang w:eastAsia="zh-CN"/>
        </w:rPr>
        <w:t>白沙黎族自治县公安局特种技术用车采购项目</w:t>
      </w:r>
    </w:p>
    <w:p>
      <w:pPr>
        <w:tabs>
          <w:tab w:val="left" w:pos="78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2、采购预算:</w:t>
      </w:r>
      <w:r>
        <w:rPr>
          <w:rFonts w:hint="eastAsia" w:ascii="宋体" w:hAnsi="宋体" w:cs="宋体"/>
          <w:color w:val="auto"/>
          <w:sz w:val="24"/>
          <w:szCs w:val="24"/>
          <w:lang w:val="en-US" w:eastAsia="zh-CN"/>
        </w:rPr>
        <w:t xml:space="preserve"> 1390000.00元</w:t>
      </w:r>
      <w:r>
        <w:rPr>
          <w:rFonts w:hint="eastAsia" w:ascii="宋体" w:hAnsi="宋体" w:eastAsia="宋体" w:cs="宋体"/>
          <w:color w:val="auto"/>
          <w:sz w:val="24"/>
          <w:szCs w:val="24"/>
        </w:rPr>
        <w:t>（超出采购预算的</w:t>
      </w:r>
      <w:r>
        <w:rPr>
          <w:rFonts w:hint="eastAsia" w:ascii="宋体" w:hAnsi="宋体" w:cs="宋体"/>
          <w:color w:val="auto"/>
          <w:sz w:val="24"/>
          <w:szCs w:val="24"/>
          <w:lang w:eastAsia="zh-CN"/>
        </w:rPr>
        <w:t>投标报价</w:t>
      </w:r>
      <w:r>
        <w:rPr>
          <w:rFonts w:hint="eastAsia" w:ascii="宋体" w:hAnsi="宋体" w:eastAsia="宋体" w:cs="宋体"/>
          <w:color w:val="auto"/>
          <w:sz w:val="24"/>
          <w:szCs w:val="24"/>
        </w:rPr>
        <w:t>为无效报价）</w:t>
      </w:r>
    </w:p>
    <w:p>
      <w:pPr>
        <w:tabs>
          <w:tab w:val="left" w:pos="780"/>
        </w:tabs>
        <w:spacing w:line="360" w:lineRule="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3、</w:t>
      </w:r>
      <w:r>
        <w:rPr>
          <w:rFonts w:hint="eastAsia" w:ascii="宋体" w:hAnsi="宋体" w:cs="宋体"/>
          <w:color w:val="auto"/>
          <w:sz w:val="24"/>
          <w:szCs w:val="24"/>
          <w:lang w:eastAsia="zh-CN"/>
        </w:rPr>
        <w:t>交货期</w:t>
      </w:r>
      <w:r>
        <w:rPr>
          <w:rFonts w:hint="eastAsia" w:ascii="宋体" w:hAnsi="宋体" w:eastAsia="宋体" w:cs="宋体"/>
          <w:color w:val="auto"/>
          <w:sz w:val="24"/>
          <w:szCs w:val="24"/>
        </w:rPr>
        <w:t>：</w:t>
      </w:r>
      <w:r>
        <w:rPr>
          <w:rFonts w:hint="eastAsia" w:ascii="宋体" w:hAnsi="宋体" w:cs="宋体"/>
          <w:color w:val="auto"/>
          <w:sz w:val="24"/>
          <w:szCs w:val="24"/>
          <w:lang w:eastAsia="zh-CN"/>
        </w:rPr>
        <w:t>签订合同</w:t>
      </w:r>
      <w:r>
        <w:rPr>
          <w:rFonts w:hint="eastAsia" w:ascii="宋体" w:hAnsi="宋体" w:cs="宋体"/>
          <w:color w:val="auto"/>
          <w:sz w:val="24"/>
          <w:szCs w:val="24"/>
          <w:lang w:val="en-US" w:eastAsia="zh-CN"/>
        </w:rPr>
        <w:t>之日起15天</w:t>
      </w:r>
    </w:p>
    <w:p>
      <w:pPr>
        <w:tabs>
          <w:tab w:val="left" w:pos="78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cs="宋体"/>
          <w:color w:val="auto"/>
          <w:sz w:val="24"/>
          <w:szCs w:val="24"/>
          <w:lang w:eastAsia="zh-CN"/>
        </w:rPr>
        <w:t>交货</w:t>
      </w:r>
      <w:r>
        <w:rPr>
          <w:rFonts w:hint="eastAsia" w:ascii="宋体" w:hAnsi="宋体" w:eastAsia="宋体" w:cs="宋体"/>
          <w:color w:val="auto"/>
          <w:sz w:val="24"/>
          <w:szCs w:val="24"/>
        </w:rPr>
        <w:t>地点：采购人指定地点。</w:t>
      </w:r>
    </w:p>
    <w:p>
      <w:pPr>
        <w:widowControl/>
        <w:snapToGrid w:val="0"/>
        <w:spacing w:line="360" w:lineRule="auto"/>
        <w:jc w:val="left"/>
        <w:rPr>
          <w:rFonts w:hint="default" w:ascii="宋体" w:hAnsi="宋体" w:eastAsia="宋体" w:cs="宋体"/>
          <w:color w:val="auto"/>
          <w:sz w:val="24"/>
          <w:szCs w:val="24"/>
          <w:lang w:val="en-US"/>
        </w:rPr>
      </w:pPr>
      <w:r>
        <w:rPr>
          <w:rFonts w:hint="eastAsia" w:ascii="宋体" w:hAnsi="宋体" w:eastAsia="宋体" w:cs="宋体"/>
          <w:color w:val="auto"/>
          <w:sz w:val="24"/>
          <w:szCs w:val="24"/>
        </w:rPr>
        <w:t>5、付款方式：</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按照合同约定的付款方式</w:t>
      </w:r>
      <w:r>
        <w:rPr>
          <w:rFonts w:hint="eastAsia" w:ascii="宋体" w:hAnsi="宋体" w:eastAsia="宋体" w:cs="宋体"/>
          <w:color w:val="auto"/>
          <w:sz w:val="24"/>
          <w:szCs w:val="24"/>
          <w:lang w:val="en-US" w:eastAsia="zh-CN"/>
        </w:rPr>
        <w:t xml:space="preserve"> </w:t>
      </w:r>
    </w:p>
    <w:p>
      <w:pPr>
        <w:shd w:val="clear" w:color="auto" w:fill="FFFFFF"/>
        <w:adjustRightInd w:val="0"/>
        <w:spacing w:line="360" w:lineRule="auto"/>
        <w:rPr>
          <w:rFonts w:hint="eastAsia" w:ascii="宋体" w:hAnsi="Cambria"/>
          <w:b/>
          <w:color w:val="auto"/>
          <w:sz w:val="28"/>
          <w:szCs w:val="28"/>
        </w:rPr>
      </w:pPr>
      <w:r>
        <w:rPr>
          <w:rFonts w:hint="eastAsia" w:ascii="宋体" w:hAnsi="Cambria"/>
          <w:b/>
          <w:color w:val="auto"/>
          <w:sz w:val="28"/>
          <w:szCs w:val="28"/>
        </w:rPr>
        <w:t>二、项目内容及参数要求说明：</w:t>
      </w:r>
    </w:p>
    <w:p>
      <w:pPr>
        <w:widowControl/>
        <w:snapToGrid w:val="0"/>
        <w:spacing w:line="36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采购内容</w:t>
      </w:r>
    </w:p>
    <w:p>
      <w:pPr>
        <w:widowControl/>
        <w:snapToGrid w:val="0"/>
        <w:spacing w:line="36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(一)采购警力输送车(新能源)一辆，警用现场勘</w:t>
      </w:r>
    </w:p>
    <w:p>
      <w:pPr>
        <w:widowControl/>
        <w:snapToGrid w:val="0"/>
        <w:spacing w:line="36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查车(新能源)一辆，警用现场勘查车(燃油型)一辆</w:t>
      </w:r>
    </w:p>
    <w:p>
      <w:pPr>
        <w:widowControl/>
        <w:snapToGrid w:val="0"/>
        <w:spacing w:line="36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(二)主要技术参数要求</w:t>
      </w:r>
    </w:p>
    <w:p>
      <w:pPr>
        <w:spacing w:before="118" w:line="219" w:lineRule="auto"/>
        <w:ind w:left="9"/>
        <w:outlineLvl w:val="6"/>
        <w:rPr>
          <w:rFonts w:hint="eastAsia" w:ascii="宋体" w:hAnsi="宋体" w:eastAsia="宋体" w:cs="宋体"/>
          <w:b/>
          <w:bCs/>
          <w:spacing w:val="5"/>
          <w:sz w:val="29"/>
          <w:szCs w:val="29"/>
          <w:lang w:eastAsia="zh-CN"/>
        </w:rPr>
      </w:pPr>
      <w:r>
        <w:rPr>
          <w:rFonts w:hint="eastAsia" w:ascii="宋体" w:hAnsi="宋体" w:eastAsia="宋体" w:cs="宋体"/>
          <w:b/>
          <w:bCs/>
          <w:spacing w:val="5"/>
          <w:sz w:val="29"/>
          <w:szCs w:val="29"/>
          <w:lang w:eastAsia="zh-CN"/>
        </w:rPr>
        <w:t>1.新能源警力输送车参数要求</w:t>
      </w:r>
    </w:p>
    <w:p>
      <w:pPr>
        <w:spacing w:line="116" w:lineRule="exact"/>
      </w:pPr>
    </w:p>
    <w:tbl>
      <w:tblPr>
        <w:tblStyle w:val="118"/>
        <w:tblW w:w="8577" w:type="dxa"/>
        <w:tblInd w:w="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550"/>
        <w:gridCol w:w="731"/>
        <w:gridCol w:w="1246"/>
        <w:gridCol w:w="648"/>
        <w:gridCol w:w="5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68" w:hRule="atLeast"/>
        </w:trPr>
        <w:tc>
          <w:tcPr>
            <w:tcW w:w="550" w:type="dxa"/>
            <w:shd w:val="clear" w:color="auto" w:fill="auto"/>
            <w:textDirection w:val="tbRlV"/>
            <w:vAlign w:val="top"/>
          </w:tcPr>
          <w:p>
            <w:pPr>
              <w:keepNext w:val="0"/>
              <w:keepLines w:val="0"/>
              <w:pageBreakBefore w:val="0"/>
              <w:widowControl w:val="0"/>
              <w:kinsoku/>
              <w:wordWrap/>
              <w:overflowPunct/>
              <w:topLinePunct w:val="0"/>
              <w:autoSpaceDE/>
              <w:autoSpaceDN/>
              <w:bidi w:val="0"/>
              <w:adjustRightInd/>
              <w:snapToGrid/>
              <w:spacing w:before="249" w:line="240" w:lineRule="exact"/>
              <w:ind w:left="73"/>
              <w:textAlignment w:val="auto"/>
              <w:rPr>
                <w:rFonts w:ascii="宋体" w:hAnsi="宋体" w:eastAsia="宋体" w:cs="宋体"/>
                <w:sz w:val="22"/>
                <w:szCs w:val="22"/>
              </w:rPr>
            </w:pPr>
            <w:r>
              <w:rPr>
                <w:rFonts w:ascii="宋体" w:hAnsi="宋体" w:eastAsia="宋体" w:cs="宋体"/>
                <w:spacing w:val="23"/>
                <w:sz w:val="22"/>
                <w:szCs w:val="22"/>
              </w:rPr>
              <w:t>序号</w:t>
            </w:r>
          </w:p>
        </w:tc>
        <w:tc>
          <w:tcPr>
            <w:tcW w:w="73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before="56" w:line="240" w:lineRule="exact"/>
              <w:ind w:left="120" w:right="126"/>
              <w:textAlignment w:val="auto"/>
              <w:rPr>
                <w:rFonts w:ascii="宋体" w:hAnsi="宋体" w:eastAsia="宋体" w:cs="宋体"/>
                <w:sz w:val="22"/>
                <w:szCs w:val="22"/>
              </w:rPr>
            </w:pPr>
            <w:r>
              <w:rPr>
                <w:rFonts w:ascii="宋体" w:hAnsi="宋体" w:eastAsia="宋体" w:cs="宋体"/>
                <w:spacing w:val="5"/>
                <w:sz w:val="22"/>
                <w:szCs w:val="22"/>
              </w:rPr>
              <w:t>功能</w:t>
            </w:r>
            <w:r>
              <w:rPr>
                <w:rFonts w:ascii="宋体" w:hAnsi="宋体" w:eastAsia="宋体" w:cs="宋体"/>
                <w:sz w:val="22"/>
                <w:szCs w:val="22"/>
              </w:rPr>
              <w:t xml:space="preserve"> </w:t>
            </w:r>
            <w:r>
              <w:rPr>
                <w:rFonts w:ascii="宋体" w:hAnsi="宋体" w:eastAsia="宋体" w:cs="宋体"/>
                <w:spacing w:val="4"/>
                <w:sz w:val="22"/>
                <w:szCs w:val="22"/>
              </w:rPr>
              <w:t>分类</w:t>
            </w:r>
          </w:p>
        </w:tc>
        <w:tc>
          <w:tcPr>
            <w:tcW w:w="124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before="205" w:line="240" w:lineRule="exact"/>
              <w:ind w:left="152"/>
              <w:textAlignment w:val="auto"/>
              <w:rPr>
                <w:rFonts w:ascii="宋体" w:hAnsi="宋体" w:eastAsia="宋体" w:cs="宋体"/>
                <w:sz w:val="22"/>
                <w:szCs w:val="22"/>
              </w:rPr>
            </w:pPr>
            <w:r>
              <w:rPr>
                <w:rFonts w:ascii="宋体" w:hAnsi="宋体" w:eastAsia="宋体" w:cs="宋体"/>
                <w:spacing w:val="2"/>
                <w:sz w:val="22"/>
                <w:szCs w:val="22"/>
              </w:rPr>
              <w:t>设备名称</w:t>
            </w:r>
          </w:p>
        </w:tc>
        <w:tc>
          <w:tcPr>
            <w:tcW w:w="648" w:type="dxa"/>
            <w:shd w:val="clear" w:color="auto" w:fill="auto"/>
            <w:textDirection w:val="tbRlV"/>
            <w:vAlign w:val="top"/>
          </w:tcPr>
          <w:p>
            <w:pPr>
              <w:keepNext w:val="0"/>
              <w:keepLines w:val="0"/>
              <w:pageBreakBefore w:val="0"/>
              <w:widowControl w:val="0"/>
              <w:kinsoku/>
              <w:wordWrap/>
              <w:overflowPunct/>
              <w:topLinePunct w:val="0"/>
              <w:autoSpaceDE/>
              <w:autoSpaceDN/>
              <w:bidi w:val="0"/>
              <w:adjustRightInd/>
              <w:snapToGrid/>
              <w:spacing w:before="214" w:line="240" w:lineRule="exact"/>
              <w:ind w:left="43"/>
              <w:textAlignment w:val="auto"/>
              <w:rPr>
                <w:rFonts w:ascii="宋体" w:hAnsi="宋体" w:eastAsia="宋体" w:cs="宋体"/>
                <w:sz w:val="22"/>
                <w:szCs w:val="22"/>
              </w:rPr>
            </w:pPr>
            <w:r>
              <w:rPr>
                <w:rFonts w:ascii="宋体" w:hAnsi="宋体" w:eastAsia="宋体" w:cs="宋体"/>
                <w:spacing w:val="-1"/>
                <w:sz w:val="22"/>
                <w:szCs w:val="22"/>
              </w:rPr>
              <w:t>数</w:t>
            </w:r>
            <w:r>
              <w:rPr>
                <w:rFonts w:ascii="宋体" w:hAnsi="宋体" w:eastAsia="宋体" w:cs="宋体"/>
                <w:spacing w:val="-32"/>
                <w:sz w:val="22"/>
                <w:szCs w:val="22"/>
              </w:rPr>
              <w:t xml:space="preserve"> </w:t>
            </w:r>
            <w:r>
              <w:rPr>
                <w:rFonts w:ascii="宋体" w:hAnsi="宋体" w:eastAsia="宋体" w:cs="宋体"/>
                <w:spacing w:val="-1"/>
                <w:sz w:val="22"/>
                <w:szCs w:val="22"/>
              </w:rPr>
              <w:t>量</w:t>
            </w:r>
          </w:p>
        </w:tc>
        <w:tc>
          <w:tcPr>
            <w:tcW w:w="540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before="204" w:line="240" w:lineRule="exact"/>
              <w:ind w:left="2194"/>
              <w:textAlignment w:val="auto"/>
              <w:rPr>
                <w:rFonts w:ascii="宋体" w:hAnsi="宋体" w:eastAsia="宋体" w:cs="宋体"/>
                <w:sz w:val="22"/>
                <w:szCs w:val="22"/>
              </w:rPr>
            </w:pPr>
            <w:r>
              <w:rPr>
                <w:rFonts w:ascii="宋体" w:hAnsi="宋体" w:eastAsia="宋体" w:cs="宋体"/>
                <w:spacing w:val="2"/>
                <w:sz w:val="22"/>
                <w:szCs w:val="22"/>
              </w:rPr>
              <w:t>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9" w:hRule="atLeast"/>
        </w:trPr>
        <w:tc>
          <w:tcPr>
            <w:tcW w:w="5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71" w:line="240" w:lineRule="exact"/>
              <w:ind w:left="54"/>
              <w:textAlignment w:val="auto"/>
              <w:rPr>
                <w:rFonts w:ascii="宋体" w:hAnsi="宋体" w:eastAsia="宋体" w:cs="宋体"/>
                <w:sz w:val="22"/>
                <w:szCs w:val="22"/>
              </w:rPr>
            </w:pPr>
            <w:r>
              <w:rPr>
                <w:rFonts w:ascii="宋体" w:hAnsi="宋体" w:eastAsia="宋体" w:cs="宋体"/>
                <w:spacing w:val="-7"/>
                <w:sz w:val="22"/>
                <w:szCs w:val="22"/>
              </w:rPr>
              <w:t>1.</w:t>
            </w:r>
          </w:p>
        </w:tc>
        <w:tc>
          <w:tcPr>
            <w:tcW w:w="73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72" w:line="240" w:lineRule="exact"/>
              <w:ind w:left="120" w:right="123"/>
              <w:textAlignment w:val="auto"/>
              <w:rPr>
                <w:rFonts w:ascii="宋体" w:hAnsi="宋体" w:eastAsia="宋体" w:cs="宋体"/>
                <w:sz w:val="22"/>
                <w:szCs w:val="22"/>
              </w:rPr>
            </w:pPr>
            <w:r>
              <w:rPr>
                <w:rFonts w:ascii="宋体" w:hAnsi="宋体" w:eastAsia="宋体" w:cs="宋体"/>
                <w:spacing w:val="-4"/>
                <w:sz w:val="22"/>
                <w:szCs w:val="22"/>
              </w:rPr>
              <w:t>底盘</w:t>
            </w:r>
            <w:r>
              <w:rPr>
                <w:rFonts w:ascii="宋体" w:hAnsi="宋体" w:eastAsia="宋体" w:cs="宋体"/>
                <w:sz w:val="22"/>
                <w:szCs w:val="22"/>
              </w:rPr>
              <w:t xml:space="preserve"> </w:t>
            </w:r>
            <w:r>
              <w:rPr>
                <w:rFonts w:ascii="宋体" w:hAnsi="宋体" w:eastAsia="宋体" w:cs="宋体"/>
                <w:spacing w:val="7"/>
                <w:sz w:val="22"/>
                <w:szCs w:val="22"/>
              </w:rPr>
              <w:t>车型</w:t>
            </w:r>
          </w:p>
        </w:tc>
        <w:tc>
          <w:tcPr>
            <w:tcW w:w="124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72" w:line="240" w:lineRule="exact"/>
              <w:ind w:left="372"/>
              <w:textAlignment w:val="auto"/>
              <w:rPr>
                <w:rFonts w:ascii="宋体" w:hAnsi="宋体" w:eastAsia="宋体" w:cs="宋体"/>
                <w:sz w:val="22"/>
                <w:szCs w:val="22"/>
              </w:rPr>
            </w:pPr>
            <w:r>
              <w:rPr>
                <w:rFonts w:ascii="宋体" w:hAnsi="宋体" w:eastAsia="宋体" w:cs="宋体"/>
                <w:spacing w:val="-3"/>
                <w:sz w:val="22"/>
                <w:szCs w:val="22"/>
              </w:rPr>
              <w:t>轻客</w:t>
            </w:r>
          </w:p>
        </w:tc>
        <w:tc>
          <w:tcPr>
            <w:tcW w:w="64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72" w:line="240" w:lineRule="exact"/>
              <w:ind w:left="142"/>
              <w:textAlignment w:val="auto"/>
              <w:rPr>
                <w:rFonts w:ascii="宋体" w:hAnsi="宋体" w:eastAsia="宋体" w:cs="宋体"/>
                <w:sz w:val="22"/>
                <w:szCs w:val="22"/>
              </w:rPr>
            </w:pPr>
            <w:r>
              <w:rPr>
                <w:rFonts w:ascii="宋体" w:hAnsi="宋体" w:eastAsia="宋体" w:cs="宋体"/>
                <w:spacing w:val="12"/>
                <w:sz w:val="22"/>
                <w:szCs w:val="22"/>
              </w:rPr>
              <w:t>1台</w:t>
            </w:r>
          </w:p>
        </w:tc>
        <w:tc>
          <w:tcPr>
            <w:tcW w:w="540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before="90" w:line="240" w:lineRule="exact"/>
              <w:ind w:left="104"/>
              <w:textAlignment w:val="auto"/>
              <w:rPr>
                <w:rFonts w:ascii="宋体" w:hAnsi="宋体" w:eastAsia="宋体" w:cs="宋体"/>
                <w:sz w:val="22"/>
                <w:szCs w:val="22"/>
              </w:rPr>
            </w:pPr>
            <w:r>
              <w:rPr>
                <w:rFonts w:ascii="宋体" w:hAnsi="宋体" w:eastAsia="宋体" w:cs="宋体"/>
                <w:spacing w:val="7"/>
                <w:sz w:val="22"/>
                <w:szCs w:val="22"/>
              </w:rPr>
              <w:t>(1)▲长×宽×高(</w:t>
            </w:r>
            <w:r>
              <w:rPr>
                <w:rFonts w:ascii="宋体" w:hAnsi="宋体" w:eastAsia="宋体" w:cs="宋体"/>
                <w:sz w:val="22"/>
                <w:szCs w:val="22"/>
              </w:rPr>
              <w:t>mm</w:t>
            </w:r>
            <w:r>
              <w:rPr>
                <w:rFonts w:ascii="宋体" w:hAnsi="宋体" w:eastAsia="宋体" w:cs="宋体"/>
                <w:spacing w:val="7"/>
                <w:sz w:val="22"/>
                <w:szCs w:val="22"/>
              </w:rPr>
              <w:t>):≥5990×2090×2550</w:t>
            </w:r>
          </w:p>
          <w:p>
            <w:pPr>
              <w:keepNext w:val="0"/>
              <w:keepLines w:val="0"/>
              <w:pageBreakBefore w:val="0"/>
              <w:widowControl w:val="0"/>
              <w:kinsoku/>
              <w:wordWrap/>
              <w:overflowPunct/>
              <w:topLinePunct w:val="0"/>
              <w:autoSpaceDE/>
              <w:autoSpaceDN/>
              <w:bidi w:val="0"/>
              <w:adjustRightInd/>
              <w:snapToGrid/>
              <w:spacing w:before="87" w:line="240" w:lineRule="exact"/>
              <w:ind w:left="104"/>
              <w:textAlignment w:val="auto"/>
              <w:rPr>
                <w:rFonts w:ascii="宋体" w:hAnsi="宋体" w:eastAsia="宋体" w:cs="宋体"/>
                <w:sz w:val="22"/>
                <w:szCs w:val="22"/>
              </w:rPr>
            </w:pPr>
            <w:r>
              <w:rPr>
                <w:rFonts w:ascii="宋体" w:hAnsi="宋体" w:eastAsia="宋体" w:cs="宋体"/>
                <w:spacing w:val="23"/>
                <w:sz w:val="22"/>
                <w:szCs w:val="22"/>
              </w:rPr>
              <w:t>(2)轴距(</w:t>
            </w:r>
            <w:r>
              <w:rPr>
                <w:rFonts w:ascii="宋体" w:hAnsi="宋体" w:eastAsia="宋体" w:cs="宋体"/>
                <w:sz w:val="22"/>
                <w:szCs w:val="22"/>
              </w:rPr>
              <w:t>mm</w:t>
            </w:r>
            <w:r>
              <w:rPr>
                <w:rFonts w:ascii="宋体" w:hAnsi="宋体" w:eastAsia="宋体" w:cs="宋体"/>
                <w:spacing w:val="23"/>
                <w:sz w:val="22"/>
                <w:szCs w:val="22"/>
              </w:rPr>
              <w:t>):≥3750</w:t>
            </w:r>
          </w:p>
          <w:p>
            <w:pPr>
              <w:keepNext w:val="0"/>
              <w:keepLines w:val="0"/>
              <w:pageBreakBefore w:val="0"/>
              <w:widowControl w:val="0"/>
              <w:kinsoku/>
              <w:wordWrap/>
              <w:overflowPunct/>
              <w:topLinePunct w:val="0"/>
              <w:autoSpaceDE/>
              <w:autoSpaceDN/>
              <w:bidi w:val="0"/>
              <w:adjustRightInd/>
              <w:snapToGrid/>
              <w:spacing w:before="120" w:line="240" w:lineRule="exact"/>
              <w:ind w:left="104"/>
              <w:textAlignment w:val="auto"/>
              <w:rPr>
                <w:rFonts w:ascii="宋体" w:hAnsi="宋体" w:eastAsia="宋体" w:cs="宋体"/>
                <w:sz w:val="22"/>
                <w:szCs w:val="22"/>
              </w:rPr>
            </w:pPr>
            <w:r>
              <w:rPr>
                <w:rFonts w:ascii="宋体" w:hAnsi="宋体" w:eastAsia="宋体" w:cs="宋体"/>
                <w:spacing w:val="17"/>
                <w:sz w:val="22"/>
                <w:szCs w:val="22"/>
              </w:rPr>
              <w:t>(3)最高车速(</w:t>
            </w:r>
            <w:r>
              <w:rPr>
                <w:rFonts w:ascii="宋体" w:hAnsi="宋体" w:eastAsia="宋体" w:cs="宋体"/>
                <w:sz w:val="22"/>
                <w:szCs w:val="22"/>
              </w:rPr>
              <w:t>km</w:t>
            </w:r>
            <w:r>
              <w:rPr>
                <w:rFonts w:ascii="宋体" w:hAnsi="宋体" w:eastAsia="宋体" w:cs="宋体"/>
                <w:spacing w:val="17"/>
                <w:sz w:val="22"/>
                <w:szCs w:val="22"/>
              </w:rPr>
              <w:t>/h):≥110</w:t>
            </w:r>
          </w:p>
          <w:p>
            <w:pPr>
              <w:keepNext w:val="0"/>
              <w:keepLines w:val="0"/>
              <w:pageBreakBefore w:val="0"/>
              <w:widowControl w:val="0"/>
              <w:kinsoku/>
              <w:wordWrap/>
              <w:overflowPunct/>
              <w:topLinePunct w:val="0"/>
              <w:autoSpaceDE/>
              <w:autoSpaceDN/>
              <w:bidi w:val="0"/>
              <w:adjustRightInd/>
              <w:snapToGrid/>
              <w:spacing w:before="78" w:line="240" w:lineRule="exact"/>
              <w:ind w:left="104"/>
              <w:textAlignment w:val="auto"/>
              <w:rPr>
                <w:rFonts w:ascii="宋体" w:hAnsi="宋体" w:eastAsia="宋体" w:cs="宋体"/>
                <w:sz w:val="22"/>
                <w:szCs w:val="22"/>
              </w:rPr>
            </w:pPr>
            <w:r>
              <w:rPr>
                <w:rFonts w:ascii="宋体" w:hAnsi="宋体" w:eastAsia="宋体" w:cs="宋体"/>
                <w:sz w:val="22"/>
                <w:szCs w:val="22"/>
              </w:rPr>
              <w:t>(4)变速箱：电动车单速变速箱</w:t>
            </w:r>
          </w:p>
          <w:p>
            <w:pPr>
              <w:keepNext w:val="0"/>
              <w:keepLines w:val="0"/>
              <w:pageBreakBefore w:val="0"/>
              <w:widowControl w:val="0"/>
              <w:kinsoku/>
              <w:wordWrap/>
              <w:overflowPunct/>
              <w:topLinePunct w:val="0"/>
              <w:autoSpaceDE/>
              <w:autoSpaceDN/>
              <w:bidi w:val="0"/>
              <w:adjustRightInd/>
              <w:snapToGrid/>
              <w:spacing w:before="127" w:line="240" w:lineRule="exact"/>
              <w:ind w:left="104"/>
              <w:textAlignment w:val="auto"/>
              <w:rPr>
                <w:rFonts w:ascii="宋体" w:hAnsi="宋体" w:eastAsia="宋体" w:cs="宋体"/>
                <w:sz w:val="22"/>
                <w:szCs w:val="22"/>
              </w:rPr>
            </w:pPr>
            <w:r>
              <w:rPr>
                <w:rFonts w:ascii="宋体" w:hAnsi="宋体" w:eastAsia="宋体" w:cs="宋体"/>
                <w:spacing w:val="16"/>
                <w:sz w:val="22"/>
                <w:szCs w:val="22"/>
              </w:rPr>
              <w:t>(5)电动机最大功率(</w:t>
            </w:r>
            <w:r>
              <w:rPr>
                <w:rFonts w:ascii="宋体" w:hAnsi="宋体" w:eastAsia="宋体" w:cs="宋体"/>
                <w:sz w:val="22"/>
                <w:szCs w:val="22"/>
              </w:rPr>
              <w:t>kW</w:t>
            </w:r>
            <w:r>
              <w:rPr>
                <w:rFonts w:ascii="宋体" w:hAnsi="宋体" w:eastAsia="宋体" w:cs="宋体"/>
                <w:spacing w:val="16"/>
                <w:sz w:val="22"/>
                <w:szCs w:val="22"/>
              </w:rPr>
              <w:t>):≥120</w:t>
            </w:r>
          </w:p>
          <w:p>
            <w:pPr>
              <w:keepNext w:val="0"/>
              <w:keepLines w:val="0"/>
              <w:pageBreakBefore w:val="0"/>
              <w:widowControl w:val="0"/>
              <w:kinsoku/>
              <w:wordWrap/>
              <w:overflowPunct/>
              <w:topLinePunct w:val="0"/>
              <w:autoSpaceDE/>
              <w:autoSpaceDN/>
              <w:bidi w:val="0"/>
              <w:adjustRightInd/>
              <w:snapToGrid/>
              <w:spacing w:before="101" w:line="240" w:lineRule="exact"/>
              <w:ind w:left="104"/>
              <w:textAlignment w:val="auto"/>
              <w:rPr>
                <w:rFonts w:ascii="宋体" w:hAnsi="宋体" w:eastAsia="宋体" w:cs="宋体"/>
                <w:sz w:val="22"/>
                <w:szCs w:val="22"/>
              </w:rPr>
            </w:pPr>
            <w:r>
              <w:rPr>
                <w:rFonts w:ascii="宋体" w:hAnsi="宋体" w:eastAsia="宋体" w:cs="宋体"/>
                <w:sz w:val="22"/>
                <w:szCs w:val="22"/>
              </w:rPr>
              <w:t>(6)▲电池类型：磷酸铁锂电池</w:t>
            </w:r>
          </w:p>
          <w:p>
            <w:pPr>
              <w:keepNext w:val="0"/>
              <w:keepLines w:val="0"/>
              <w:pageBreakBefore w:val="0"/>
              <w:widowControl w:val="0"/>
              <w:kinsoku/>
              <w:wordWrap/>
              <w:overflowPunct/>
              <w:topLinePunct w:val="0"/>
              <w:autoSpaceDE/>
              <w:autoSpaceDN/>
              <w:bidi w:val="0"/>
              <w:adjustRightInd/>
              <w:snapToGrid/>
              <w:spacing w:before="107" w:line="240" w:lineRule="exact"/>
              <w:ind w:left="104"/>
              <w:textAlignment w:val="auto"/>
              <w:rPr>
                <w:rFonts w:ascii="宋体" w:hAnsi="宋体" w:eastAsia="宋体" w:cs="宋体"/>
                <w:sz w:val="22"/>
                <w:szCs w:val="22"/>
              </w:rPr>
            </w:pPr>
            <w:r>
              <w:rPr>
                <w:rFonts w:ascii="宋体" w:hAnsi="宋体" w:eastAsia="宋体" w:cs="宋体"/>
                <w:spacing w:val="2"/>
                <w:sz w:val="22"/>
                <w:szCs w:val="22"/>
              </w:rPr>
              <w:t>(7)电动机最大功率(N.m):≥320</w:t>
            </w:r>
          </w:p>
          <w:p>
            <w:pPr>
              <w:keepNext w:val="0"/>
              <w:keepLines w:val="0"/>
              <w:pageBreakBefore w:val="0"/>
              <w:widowControl w:val="0"/>
              <w:kinsoku/>
              <w:wordWrap/>
              <w:overflowPunct/>
              <w:topLinePunct w:val="0"/>
              <w:autoSpaceDE/>
              <w:autoSpaceDN/>
              <w:bidi w:val="0"/>
              <w:adjustRightInd/>
              <w:snapToGrid/>
              <w:spacing w:before="102" w:line="240" w:lineRule="exact"/>
              <w:ind w:left="104"/>
              <w:textAlignment w:val="auto"/>
              <w:rPr>
                <w:rFonts w:ascii="宋体" w:hAnsi="宋体" w:eastAsia="宋体" w:cs="宋体"/>
                <w:sz w:val="22"/>
                <w:szCs w:val="22"/>
              </w:rPr>
            </w:pPr>
            <w:r>
              <w:rPr>
                <w:rFonts w:ascii="宋体" w:hAnsi="宋体" w:eastAsia="宋体" w:cs="宋体"/>
                <w:spacing w:val="21"/>
                <w:sz w:val="22"/>
                <w:szCs w:val="22"/>
              </w:rPr>
              <w:t>(8)电池能量(</w:t>
            </w:r>
            <w:r>
              <w:rPr>
                <w:rFonts w:ascii="宋体" w:hAnsi="宋体" w:eastAsia="宋体" w:cs="宋体"/>
                <w:sz w:val="22"/>
                <w:szCs w:val="22"/>
              </w:rPr>
              <w:t>kwh</w:t>
            </w:r>
            <w:r>
              <w:rPr>
                <w:rFonts w:ascii="宋体" w:hAnsi="宋体" w:eastAsia="宋体" w:cs="宋体"/>
                <w:spacing w:val="21"/>
                <w:sz w:val="22"/>
                <w:szCs w:val="22"/>
              </w:rPr>
              <w:t>):≥85</w:t>
            </w:r>
          </w:p>
          <w:p>
            <w:pPr>
              <w:keepNext w:val="0"/>
              <w:keepLines w:val="0"/>
              <w:pageBreakBefore w:val="0"/>
              <w:widowControl w:val="0"/>
              <w:kinsoku/>
              <w:wordWrap/>
              <w:overflowPunct/>
              <w:topLinePunct w:val="0"/>
              <w:autoSpaceDE/>
              <w:autoSpaceDN/>
              <w:bidi w:val="0"/>
              <w:adjustRightInd/>
              <w:snapToGrid/>
              <w:spacing w:before="105" w:line="240" w:lineRule="exact"/>
              <w:ind w:left="104"/>
              <w:textAlignment w:val="auto"/>
              <w:rPr>
                <w:rFonts w:ascii="宋体" w:hAnsi="宋体" w:eastAsia="宋体" w:cs="宋体"/>
                <w:sz w:val="22"/>
                <w:szCs w:val="22"/>
              </w:rPr>
            </w:pPr>
            <w:r>
              <w:rPr>
                <w:rFonts w:ascii="宋体" w:hAnsi="宋体" w:eastAsia="宋体" w:cs="宋体"/>
                <w:spacing w:val="16"/>
                <w:sz w:val="22"/>
                <w:szCs w:val="22"/>
              </w:rPr>
              <w:t>(9)工信部续航里程(</w:t>
            </w:r>
            <w:r>
              <w:rPr>
                <w:rFonts w:ascii="宋体" w:hAnsi="宋体" w:eastAsia="宋体" w:cs="宋体"/>
                <w:sz w:val="22"/>
                <w:szCs w:val="22"/>
              </w:rPr>
              <w:t>km</w:t>
            </w:r>
            <w:r>
              <w:rPr>
                <w:rFonts w:ascii="宋体" w:hAnsi="宋体" w:eastAsia="宋体" w:cs="宋体"/>
                <w:spacing w:val="16"/>
                <w:sz w:val="22"/>
                <w:szCs w:val="22"/>
              </w:rPr>
              <w:t>):≥260</w:t>
            </w:r>
          </w:p>
          <w:p>
            <w:pPr>
              <w:keepNext w:val="0"/>
              <w:keepLines w:val="0"/>
              <w:pageBreakBefore w:val="0"/>
              <w:widowControl w:val="0"/>
              <w:kinsoku/>
              <w:wordWrap/>
              <w:overflowPunct/>
              <w:topLinePunct w:val="0"/>
              <w:autoSpaceDE/>
              <w:autoSpaceDN/>
              <w:bidi w:val="0"/>
              <w:adjustRightInd/>
              <w:snapToGrid/>
              <w:spacing w:before="90" w:line="240" w:lineRule="exact"/>
              <w:ind w:left="104"/>
              <w:textAlignment w:val="auto"/>
              <w:rPr>
                <w:rFonts w:ascii="宋体" w:hAnsi="宋体" w:eastAsia="宋体" w:cs="宋体"/>
                <w:sz w:val="22"/>
                <w:szCs w:val="22"/>
              </w:rPr>
            </w:pPr>
            <w:r>
              <w:rPr>
                <w:rFonts w:ascii="宋体" w:hAnsi="宋体" w:eastAsia="宋体" w:cs="宋体"/>
                <w:sz w:val="22"/>
                <w:szCs w:val="22"/>
              </w:rPr>
              <w:t>(10)驱动方式：后置后驱</w:t>
            </w:r>
          </w:p>
          <w:p>
            <w:pPr>
              <w:keepNext w:val="0"/>
              <w:keepLines w:val="0"/>
              <w:pageBreakBefore w:val="0"/>
              <w:widowControl w:val="0"/>
              <w:kinsoku/>
              <w:wordWrap/>
              <w:overflowPunct/>
              <w:topLinePunct w:val="0"/>
              <w:autoSpaceDE/>
              <w:autoSpaceDN/>
              <w:bidi w:val="0"/>
              <w:adjustRightInd/>
              <w:snapToGrid/>
              <w:spacing w:before="107" w:line="240" w:lineRule="exact"/>
              <w:ind w:left="104"/>
              <w:textAlignment w:val="auto"/>
              <w:rPr>
                <w:rFonts w:ascii="宋体" w:hAnsi="宋体" w:eastAsia="宋体" w:cs="宋体"/>
                <w:sz w:val="22"/>
                <w:szCs w:val="22"/>
              </w:rPr>
            </w:pPr>
            <w:r>
              <w:rPr>
                <w:rFonts w:ascii="宋体" w:hAnsi="宋体" w:eastAsia="宋体" w:cs="宋体"/>
                <w:sz w:val="22"/>
                <w:szCs w:val="22"/>
              </w:rPr>
              <w:t>(11)车体结构：承载式</w:t>
            </w:r>
          </w:p>
          <w:p>
            <w:pPr>
              <w:keepNext w:val="0"/>
              <w:keepLines w:val="0"/>
              <w:pageBreakBefore w:val="0"/>
              <w:widowControl w:val="0"/>
              <w:kinsoku/>
              <w:wordWrap/>
              <w:overflowPunct/>
              <w:topLinePunct w:val="0"/>
              <w:autoSpaceDE/>
              <w:autoSpaceDN/>
              <w:bidi w:val="0"/>
              <w:adjustRightInd/>
              <w:snapToGrid/>
              <w:spacing w:before="119" w:line="240" w:lineRule="exact"/>
              <w:ind w:left="104"/>
              <w:textAlignment w:val="auto"/>
              <w:rPr>
                <w:rFonts w:ascii="宋体" w:hAnsi="宋体" w:eastAsia="宋体" w:cs="宋体"/>
                <w:sz w:val="22"/>
                <w:szCs w:val="22"/>
              </w:rPr>
            </w:pPr>
            <w:r>
              <w:rPr>
                <w:rFonts w:ascii="宋体" w:hAnsi="宋体" w:eastAsia="宋体" w:cs="宋体"/>
                <w:spacing w:val="-1"/>
                <w:sz w:val="22"/>
                <w:szCs w:val="22"/>
              </w:rPr>
              <w:t>(12)前后轮胎规格：≥215/75</w:t>
            </w:r>
            <w:r>
              <w:rPr>
                <w:rFonts w:ascii="宋体" w:hAnsi="宋体" w:eastAsia="宋体" w:cs="宋体"/>
                <w:spacing w:val="29"/>
                <w:sz w:val="22"/>
                <w:szCs w:val="22"/>
              </w:rPr>
              <w:t xml:space="preserve"> </w:t>
            </w:r>
            <w:r>
              <w:rPr>
                <w:rFonts w:ascii="宋体" w:hAnsi="宋体" w:eastAsia="宋体" w:cs="宋体"/>
                <w:spacing w:val="-1"/>
                <w:sz w:val="22"/>
                <w:szCs w:val="22"/>
              </w:rPr>
              <w:t>R16LT</w:t>
            </w:r>
          </w:p>
          <w:p>
            <w:pPr>
              <w:keepNext w:val="0"/>
              <w:keepLines w:val="0"/>
              <w:pageBreakBefore w:val="0"/>
              <w:widowControl w:val="0"/>
              <w:kinsoku/>
              <w:wordWrap/>
              <w:overflowPunct/>
              <w:topLinePunct w:val="0"/>
              <w:autoSpaceDE/>
              <w:autoSpaceDN/>
              <w:bidi w:val="0"/>
              <w:adjustRightInd/>
              <w:snapToGrid/>
              <w:spacing w:before="109" w:line="240" w:lineRule="exact"/>
              <w:ind w:left="104"/>
              <w:textAlignment w:val="auto"/>
              <w:rPr>
                <w:rFonts w:ascii="宋体" w:hAnsi="宋体" w:eastAsia="宋体" w:cs="宋体"/>
                <w:sz w:val="22"/>
                <w:szCs w:val="22"/>
              </w:rPr>
            </w:pPr>
            <w:r>
              <w:rPr>
                <w:rFonts w:ascii="宋体" w:hAnsi="宋体" w:eastAsia="宋体" w:cs="宋体"/>
                <w:sz w:val="22"/>
                <w:szCs w:val="22"/>
              </w:rPr>
              <w:t>(13)最小离地间隙(mm);≥175</w:t>
            </w:r>
          </w:p>
          <w:p>
            <w:pPr>
              <w:keepNext w:val="0"/>
              <w:keepLines w:val="0"/>
              <w:pageBreakBefore w:val="0"/>
              <w:widowControl w:val="0"/>
              <w:kinsoku/>
              <w:wordWrap/>
              <w:overflowPunct/>
              <w:topLinePunct w:val="0"/>
              <w:autoSpaceDE/>
              <w:autoSpaceDN/>
              <w:bidi w:val="0"/>
              <w:adjustRightInd/>
              <w:snapToGrid/>
              <w:spacing w:before="82" w:line="240" w:lineRule="exact"/>
              <w:ind w:left="104"/>
              <w:textAlignment w:val="auto"/>
              <w:rPr>
                <w:rFonts w:ascii="宋体" w:hAnsi="宋体" w:eastAsia="宋体" w:cs="宋体"/>
                <w:sz w:val="22"/>
                <w:szCs w:val="22"/>
              </w:rPr>
            </w:pPr>
            <w:r>
              <w:rPr>
                <w:rFonts w:ascii="宋体" w:hAnsi="宋体" w:eastAsia="宋体" w:cs="宋体"/>
                <w:sz w:val="22"/>
                <w:szCs w:val="22"/>
              </w:rPr>
              <w:t>(14)总质量(kg):≥4250</w:t>
            </w:r>
          </w:p>
          <w:p>
            <w:pPr>
              <w:keepNext w:val="0"/>
              <w:keepLines w:val="0"/>
              <w:pageBreakBefore w:val="0"/>
              <w:widowControl w:val="0"/>
              <w:kinsoku/>
              <w:wordWrap/>
              <w:overflowPunct/>
              <w:topLinePunct w:val="0"/>
              <w:autoSpaceDE/>
              <w:autoSpaceDN/>
              <w:bidi w:val="0"/>
              <w:adjustRightInd/>
              <w:snapToGrid/>
              <w:spacing w:before="82" w:line="240" w:lineRule="exact"/>
              <w:ind w:left="104"/>
              <w:textAlignment w:val="auto"/>
              <w:rPr>
                <w:rFonts w:hint="eastAsia" w:ascii="宋体" w:hAnsi="宋体" w:eastAsia="宋体" w:cs="宋体"/>
                <w:sz w:val="22"/>
                <w:szCs w:val="22"/>
                <w:lang w:eastAsia="zh-CN"/>
              </w:rPr>
            </w:pP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t>供应商需提供中华人民共和国工业和信息化部《道路机动车辆生产企业及产品公告》的公告企业证明（代理商投标的需提供上述厂家证明文件及授权文件）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5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72" w:line="240" w:lineRule="exact"/>
              <w:ind w:left="54"/>
              <w:textAlignment w:val="auto"/>
              <w:rPr>
                <w:rFonts w:ascii="宋体" w:hAnsi="宋体" w:eastAsia="宋体" w:cs="宋体"/>
                <w:sz w:val="22"/>
                <w:szCs w:val="22"/>
              </w:rPr>
            </w:pPr>
            <w:r>
              <w:rPr>
                <w:rFonts w:ascii="宋体" w:hAnsi="宋体" w:eastAsia="宋体" w:cs="宋体"/>
                <w:spacing w:val="-3"/>
                <w:sz w:val="22"/>
                <w:szCs w:val="22"/>
              </w:rPr>
              <w:t>2.</w:t>
            </w:r>
          </w:p>
        </w:tc>
        <w:tc>
          <w:tcPr>
            <w:tcW w:w="73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before="98" w:line="240" w:lineRule="exact"/>
              <w:ind w:left="120" w:right="124"/>
              <w:textAlignment w:val="auto"/>
              <w:rPr>
                <w:rFonts w:ascii="宋体" w:hAnsi="宋体" w:eastAsia="宋体" w:cs="宋体"/>
                <w:spacing w:val="6"/>
                <w:sz w:val="22"/>
                <w:szCs w:val="22"/>
              </w:rPr>
            </w:pPr>
            <w:r>
              <w:rPr>
                <w:rFonts w:ascii="宋体" w:hAnsi="宋体" w:eastAsia="宋体" w:cs="宋体"/>
                <w:spacing w:val="6"/>
                <w:sz w:val="22"/>
                <w:szCs w:val="22"/>
              </w:rPr>
              <w:t>警示</w:t>
            </w:r>
          </w:p>
          <w:p>
            <w:pPr>
              <w:keepNext w:val="0"/>
              <w:keepLines w:val="0"/>
              <w:pageBreakBefore w:val="0"/>
              <w:widowControl w:val="0"/>
              <w:kinsoku/>
              <w:wordWrap/>
              <w:overflowPunct/>
              <w:topLinePunct w:val="0"/>
              <w:autoSpaceDE/>
              <w:autoSpaceDN/>
              <w:bidi w:val="0"/>
              <w:adjustRightInd/>
              <w:snapToGrid/>
              <w:spacing w:before="98" w:line="240" w:lineRule="exact"/>
              <w:ind w:left="120" w:right="124"/>
              <w:textAlignment w:val="auto"/>
              <w:rPr>
                <w:rFonts w:ascii="宋体" w:hAnsi="宋体" w:eastAsia="宋体" w:cs="宋体"/>
                <w:sz w:val="22"/>
                <w:szCs w:val="22"/>
              </w:rPr>
            </w:pPr>
            <w:r>
              <w:rPr>
                <w:rFonts w:ascii="宋体" w:hAnsi="宋体" w:eastAsia="宋体" w:cs="宋体"/>
                <w:spacing w:val="6"/>
                <w:sz w:val="22"/>
                <w:szCs w:val="22"/>
              </w:rPr>
              <w:t>系统</w:t>
            </w:r>
          </w:p>
        </w:tc>
        <w:tc>
          <w:tcPr>
            <w:tcW w:w="124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before="268" w:line="240" w:lineRule="exact"/>
              <w:ind w:left="152"/>
              <w:textAlignment w:val="auto"/>
              <w:rPr>
                <w:rFonts w:ascii="宋体" w:hAnsi="宋体" w:eastAsia="宋体" w:cs="宋体"/>
                <w:sz w:val="22"/>
                <w:szCs w:val="22"/>
              </w:rPr>
            </w:pPr>
            <w:r>
              <w:rPr>
                <w:rFonts w:ascii="宋体" w:hAnsi="宋体" w:eastAsia="宋体" w:cs="宋体"/>
                <w:spacing w:val="3"/>
                <w:sz w:val="22"/>
                <w:szCs w:val="22"/>
              </w:rPr>
              <w:t>磁吸警灯</w:t>
            </w:r>
          </w:p>
        </w:tc>
        <w:tc>
          <w:tcPr>
            <w:tcW w:w="64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before="268" w:line="240" w:lineRule="exact"/>
              <w:ind w:left="142"/>
              <w:textAlignment w:val="auto"/>
              <w:rPr>
                <w:rFonts w:ascii="宋体" w:hAnsi="宋体" w:eastAsia="宋体" w:cs="宋体"/>
                <w:sz w:val="22"/>
                <w:szCs w:val="22"/>
              </w:rPr>
            </w:pPr>
            <w:r>
              <w:rPr>
                <w:rFonts w:ascii="宋体" w:hAnsi="宋体" w:eastAsia="宋体" w:cs="宋体"/>
                <w:spacing w:val="5"/>
                <w:sz w:val="22"/>
                <w:szCs w:val="22"/>
              </w:rPr>
              <w:t>1套</w:t>
            </w:r>
          </w:p>
        </w:tc>
        <w:tc>
          <w:tcPr>
            <w:tcW w:w="540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before="86" w:line="240" w:lineRule="exact"/>
              <w:ind w:left="104"/>
              <w:textAlignment w:val="auto"/>
              <w:rPr>
                <w:rFonts w:ascii="宋体" w:hAnsi="宋体" w:eastAsia="宋体" w:cs="宋体"/>
                <w:sz w:val="21"/>
                <w:szCs w:val="21"/>
              </w:rPr>
            </w:pPr>
            <w:r>
              <w:rPr>
                <w:rFonts w:ascii="宋体" w:hAnsi="宋体" w:eastAsia="宋体" w:cs="宋体"/>
                <w:spacing w:val="3"/>
                <w:sz w:val="21"/>
                <w:szCs w:val="21"/>
              </w:rPr>
              <w:t>小型警灯，磁吸底座，可支持充电和直接供电，配置弹</w:t>
            </w:r>
            <w:r>
              <w:rPr>
                <w:rFonts w:ascii="宋体" w:hAnsi="宋体" w:eastAsia="宋体" w:cs="宋体"/>
                <w:spacing w:val="11"/>
                <w:sz w:val="21"/>
                <w:szCs w:val="21"/>
              </w:rPr>
              <w:t xml:space="preserve"> </w:t>
            </w:r>
            <w:r>
              <w:rPr>
                <w:rFonts w:ascii="宋体" w:hAnsi="宋体" w:eastAsia="宋体" w:cs="宋体"/>
                <w:spacing w:val="8"/>
                <w:sz w:val="21"/>
                <w:szCs w:val="21"/>
              </w:rPr>
              <w:t>簧电源线，</w:t>
            </w:r>
            <w:r>
              <w:rPr>
                <w:rFonts w:ascii="宋体" w:hAnsi="宋体" w:eastAsia="宋体" w:cs="宋体"/>
                <w:sz w:val="21"/>
                <w:szCs w:val="21"/>
              </w:rPr>
              <w:t>DC</w:t>
            </w:r>
            <w:r>
              <w:rPr>
                <w:rFonts w:ascii="宋体" w:hAnsi="宋体" w:eastAsia="宋体" w:cs="宋体"/>
                <w:spacing w:val="8"/>
                <w:sz w:val="21"/>
                <w:szCs w:val="21"/>
              </w:rPr>
              <w:t>12V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5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72" w:line="240" w:lineRule="exact"/>
              <w:ind w:left="54"/>
              <w:textAlignment w:val="auto"/>
              <w:rPr>
                <w:rFonts w:ascii="宋体" w:hAnsi="宋体" w:eastAsia="宋体" w:cs="宋体"/>
                <w:sz w:val="22"/>
                <w:szCs w:val="22"/>
              </w:rPr>
            </w:pPr>
            <w:r>
              <w:rPr>
                <w:rFonts w:ascii="宋体" w:hAnsi="宋体" w:eastAsia="宋体" w:cs="宋体"/>
                <w:spacing w:val="-4"/>
                <w:sz w:val="22"/>
                <w:szCs w:val="22"/>
              </w:rPr>
              <w:t>3.</w:t>
            </w:r>
          </w:p>
        </w:tc>
        <w:tc>
          <w:tcPr>
            <w:tcW w:w="73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before="98" w:line="240" w:lineRule="exact"/>
              <w:ind w:left="120" w:right="124"/>
              <w:textAlignment w:val="auto"/>
              <w:rPr>
                <w:rFonts w:ascii="宋体" w:hAnsi="宋体" w:eastAsia="宋体" w:cs="宋体"/>
                <w:sz w:val="22"/>
                <w:szCs w:val="22"/>
              </w:rPr>
            </w:pPr>
            <w:r>
              <w:rPr>
                <w:rFonts w:ascii="宋体" w:hAnsi="宋体" w:eastAsia="宋体" w:cs="宋体"/>
                <w:spacing w:val="6"/>
                <w:sz w:val="22"/>
                <w:szCs w:val="22"/>
              </w:rPr>
              <w:t>充电 装置</w:t>
            </w:r>
          </w:p>
        </w:tc>
        <w:tc>
          <w:tcPr>
            <w:tcW w:w="124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before="269" w:line="240" w:lineRule="exact"/>
              <w:ind w:left="262"/>
              <w:textAlignment w:val="auto"/>
              <w:rPr>
                <w:rFonts w:ascii="宋体" w:hAnsi="宋体" w:eastAsia="宋体" w:cs="宋体"/>
                <w:sz w:val="22"/>
                <w:szCs w:val="22"/>
              </w:rPr>
            </w:pPr>
            <w:r>
              <w:rPr>
                <w:rFonts w:ascii="宋体" w:hAnsi="宋体" w:eastAsia="宋体" w:cs="宋体"/>
                <w:spacing w:val="3"/>
                <w:sz w:val="22"/>
                <w:szCs w:val="22"/>
              </w:rPr>
              <w:t>充电桩</w:t>
            </w:r>
          </w:p>
        </w:tc>
        <w:tc>
          <w:tcPr>
            <w:tcW w:w="64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before="269" w:line="240" w:lineRule="exact"/>
              <w:ind w:left="142"/>
              <w:textAlignment w:val="auto"/>
              <w:rPr>
                <w:rFonts w:ascii="宋体" w:hAnsi="宋体" w:eastAsia="宋体" w:cs="宋体"/>
                <w:sz w:val="22"/>
                <w:szCs w:val="22"/>
              </w:rPr>
            </w:pPr>
            <w:r>
              <w:rPr>
                <w:rFonts w:ascii="宋体" w:hAnsi="宋体" w:eastAsia="宋体" w:cs="宋体"/>
                <w:spacing w:val="5"/>
                <w:sz w:val="22"/>
                <w:szCs w:val="22"/>
              </w:rPr>
              <w:t>1套</w:t>
            </w:r>
          </w:p>
        </w:tc>
        <w:tc>
          <w:tcPr>
            <w:tcW w:w="540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before="269" w:line="240" w:lineRule="exact"/>
              <w:ind w:left="104"/>
              <w:textAlignment w:val="auto"/>
              <w:rPr>
                <w:rFonts w:ascii="宋体" w:hAnsi="宋体" w:eastAsia="宋体" w:cs="宋体"/>
                <w:sz w:val="22"/>
                <w:szCs w:val="22"/>
              </w:rPr>
            </w:pPr>
            <w:r>
              <w:rPr>
                <w:rFonts w:ascii="宋体" w:hAnsi="宋体" w:eastAsia="宋体" w:cs="宋体"/>
                <w:spacing w:val="-1"/>
                <w:sz w:val="22"/>
                <w:szCs w:val="22"/>
              </w:rPr>
              <w:t>智能交流充电桩，国标七芯，单枪，功率≥3KW</w:t>
            </w:r>
          </w:p>
        </w:tc>
      </w:tr>
    </w:tbl>
    <w:p>
      <w:pPr>
        <w:rPr>
          <w:rFonts w:ascii="Arial"/>
          <w:sz w:val="21"/>
        </w:rPr>
      </w:pPr>
    </w:p>
    <w:p>
      <w:pPr>
        <w:spacing w:before="118" w:line="219" w:lineRule="auto"/>
        <w:ind w:left="9"/>
        <w:outlineLvl w:val="6"/>
        <w:rPr>
          <w:rFonts w:ascii="宋体" w:hAnsi="宋体" w:eastAsia="宋体" w:cs="宋体"/>
          <w:sz w:val="29"/>
          <w:szCs w:val="29"/>
        </w:rPr>
      </w:pPr>
      <w:r>
        <w:rPr>
          <w:rFonts w:ascii="宋体" w:hAnsi="宋体" w:eastAsia="宋体" w:cs="宋体"/>
          <w:b/>
          <w:bCs/>
          <w:spacing w:val="5"/>
          <w:sz w:val="29"/>
          <w:szCs w:val="29"/>
        </w:rPr>
        <w:t>2.警用现场勘查车(新能源)</w:t>
      </w:r>
    </w:p>
    <w:p>
      <w:pPr>
        <w:spacing w:line="122" w:lineRule="exact"/>
      </w:pPr>
    </w:p>
    <w:tbl>
      <w:tblPr>
        <w:tblStyle w:val="118"/>
        <w:tblW w:w="89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7"/>
        <w:gridCol w:w="755"/>
        <w:gridCol w:w="1306"/>
        <w:gridCol w:w="679"/>
        <w:gridCol w:w="5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jc w:val="center"/>
        </w:trPr>
        <w:tc>
          <w:tcPr>
            <w:tcW w:w="587" w:type="dxa"/>
            <w:textDirection w:val="tbRlV"/>
            <w:vAlign w:val="center"/>
          </w:tcPr>
          <w:p>
            <w:pPr>
              <w:keepNext w:val="0"/>
              <w:keepLines w:val="0"/>
              <w:pageBreakBefore w:val="0"/>
              <w:widowControl w:val="0"/>
              <w:kinsoku/>
              <w:wordWrap/>
              <w:overflowPunct/>
              <w:topLinePunct w:val="0"/>
              <w:autoSpaceDE/>
              <w:autoSpaceDN/>
              <w:bidi w:val="0"/>
              <w:adjustRightInd/>
              <w:snapToGrid/>
              <w:spacing w:before="259" w:line="300" w:lineRule="exact"/>
              <w:ind w:left="83"/>
              <w:jc w:val="center"/>
              <w:textAlignment w:val="auto"/>
              <w:rPr>
                <w:rFonts w:ascii="宋体" w:hAnsi="宋体" w:eastAsia="宋体" w:cs="宋体"/>
                <w:sz w:val="21"/>
                <w:szCs w:val="21"/>
              </w:rPr>
            </w:pPr>
            <w:r>
              <w:rPr>
                <w:rFonts w:ascii="宋体" w:hAnsi="宋体" w:eastAsia="宋体" w:cs="宋体"/>
                <w:spacing w:val="18"/>
                <w:sz w:val="21"/>
                <w:szCs w:val="21"/>
              </w:rPr>
              <w:t>序号</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before="55" w:line="300" w:lineRule="exact"/>
              <w:ind w:left="131" w:right="127"/>
              <w:jc w:val="center"/>
              <w:textAlignment w:val="auto"/>
              <w:rPr>
                <w:rFonts w:ascii="宋体" w:hAnsi="宋体" w:eastAsia="宋体" w:cs="宋体"/>
                <w:sz w:val="21"/>
                <w:szCs w:val="21"/>
              </w:rPr>
            </w:pPr>
            <w:r>
              <w:rPr>
                <w:rFonts w:ascii="宋体" w:hAnsi="宋体" w:eastAsia="宋体" w:cs="宋体"/>
                <w:spacing w:val="5"/>
                <w:sz w:val="21"/>
                <w:szCs w:val="21"/>
              </w:rPr>
              <w:t>功能</w:t>
            </w:r>
            <w:r>
              <w:rPr>
                <w:rFonts w:ascii="宋体" w:hAnsi="宋体" w:eastAsia="宋体" w:cs="宋体"/>
                <w:sz w:val="21"/>
                <w:szCs w:val="21"/>
              </w:rPr>
              <w:t xml:space="preserve"> </w:t>
            </w:r>
            <w:r>
              <w:rPr>
                <w:rFonts w:ascii="宋体" w:hAnsi="宋体" w:eastAsia="宋体" w:cs="宋体"/>
                <w:spacing w:val="-3"/>
                <w:sz w:val="21"/>
                <w:szCs w:val="21"/>
              </w:rPr>
              <w:t>分类</w:t>
            </w:r>
          </w:p>
        </w:tc>
        <w:tc>
          <w:tcPr>
            <w:tcW w:w="1306" w:type="dxa"/>
            <w:vAlign w:val="center"/>
          </w:tcPr>
          <w:p>
            <w:pPr>
              <w:keepNext w:val="0"/>
              <w:keepLines w:val="0"/>
              <w:pageBreakBefore w:val="0"/>
              <w:widowControl w:val="0"/>
              <w:kinsoku/>
              <w:wordWrap/>
              <w:overflowPunct/>
              <w:topLinePunct w:val="0"/>
              <w:autoSpaceDE/>
              <w:autoSpaceDN/>
              <w:bidi w:val="0"/>
              <w:adjustRightInd/>
              <w:snapToGrid/>
              <w:spacing w:before="204" w:line="300" w:lineRule="exact"/>
              <w:ind w:left="172"/>
              <w:jc w:val="center"/>
              <w:textAlignment w:val="auto"/>
              <w:rPr>
                <w:rFonts w:ascii="宋体" w:hAnsi="宋体" w:eastAsia="宋体" w:cs="宋体"/>
                <w:sz w:val="21"/>
                <w:szCs w:val="21"/>
              </w:rPr>
            </w:pPr>
            <w:r>
              <w:rPr>
                <w:rFonts w:ascii="宋体" w:hAnsi="宋体" w:eastAsia="宋体" w:cs="宋体"/>
                <w:spacing w:val="2"/>
                <w:sz w:val="21"/>
                <w:szCs w:val="21"/>
              </w:rPr>
              <w:t>设备名称</w:t>
            </w:r>
          </w:p>
        </w:tc>
        <w:tc>
          <w:tcPr>
            <w:tcW w:w="679" w:type="dxa"/>
            <w:vAlign w:val="center"/>
          </w:tcPr>
          <w:p>
            <w:pPr>
              <w:keepNext w:val="0"/>
              <w:keepLines w:val="0"/>
              <w:pageBreakBefore w:val="0"/>
              <w:widowControl w:val="0"/>
              <w:kinsoku/>
              <w:wordWrap/>
              <w:overflowPunct/>
              <w:topLinePunct w:val="0"/>
              <w:autoSpaceDE/>
              <w:autoSpaceDN/>
              <w:bidi w:val="0"/>
              <w:adjustRightInd/>
              <w:snapToGrid/>
              <w:spacing w:before="43" w:line="300" w:lineRule="exact"/>
              <w:ind w:left="203"/>
              <w:jc w:val="center"/>
              <w:textAlignment w:val="auto"/>
              <w:rPr>
                <w:rFonts w:ascii="宋体" w:hAnsi="宋体" w:eastAsia="宋体" w:cs="宋体"/>
                <w:sz w:val="21"/>
                <w:szCs w:val="21"/>
              </w:rPr>
            </w:pPr>
            <w:r>
              <w:rPr>
                <w:rFonts w:ascii="宋体" w:hAnsi="宋体" w:eastAsia="宋体" w:cs="宋体"/>
                <w:sz w:val="21"/>
                <w:szCs w:val="21"/>
              </w:rPr>
              <w:t>数</w:t>
            </w:r>
          </w:p>
          <w:p>
            <w:pPr>
              <w:keepNext w:val="0"/>
              <w:keepLines w:val="0"/>
              <w:pageBreakBefore w:val="0"/>
              <w:widowControl w:val="0"/>
              <w:kinsoku/>
              <w:wordWrap/>
              <w:overflowPunct/>
              <w:topLinePunct w:val="0"/>
              <w:autoSpaceDE/>
              <w:autoSpaceDN/>
              <w:bidi w:val="0"/>
              <w:adjustRightInd/>
              <w:snapToGrid/>
              <w:spacing w:line="300" w:lineRule="exact"/>
              <w:ind w:left="203"/>
              <w:jc w:val="center"/>
              <w:textAlignment w:val="auto"/>
              <w:rPr>
                <w:rFonts w:ascii="宋体" w:hAnsi="宋体" w:eastAsia="宋体" w:cs="宋体"/>
                <w:sz w:val="21"/>
                <w:szCs w:val="21"/>
              </w:rPr>
            </w:pPr>
            <w:r>
              <w:rPr>
                <w:rFonts w:ascii="宋体" w:hAnsi="宋体" w:eastAsia="宋体" w:cs="宋体"/>
                <w:sz w:val="21"/>
                <w:szCs w:val="21"/>
              </w:rPr>
              <w:t>量</w:t>
            </w:r>
          </w:p>
        </w:tc>
        <w:tc>
          <w:tcPr>
            <w:tcW w:w="5650" w:type="dxa"/>
            <w:vAlign w:val="center"/>
          </w:tcPr>
          <w:p>
            <w:pPr>
              <w:keepNext w:val="0"/>
              <w:keepLines w:val="0"/>
              <w:pageBreakBefore w:val="0"/>
              <w:widowControl w:val="0"/>
              <w:kinsoku/>
              <w:wordWrap/>
              <w:overflowPunct/>
              <w:topLinePunct w:val="0"/>
              <w:autoSpaceDE/>
              <w:autoSpaceDN/>
              <w:bidi w:val="0"/>
              <w:adjustRightInd/>
              <w:snapToGrid/>
              <w:spacing w:before="203" w:line="300" w:lineRule="exact"/>
              <w:ind w:left="2204"/>
              <w:jc w:val="both"/>
              <w:textAlignment w:val="auto"/>
              <w:rPr>
                <w:rFonts w:ascii="宋体" w:hAnsi="宋体" w:eastAsia="宋体" w:cs="宋体"/>
                <w:sz w:val="21"/>
                <w:szCs w:val="21"/>
              </w:rPr>
            </w:pPr>
            <w:r>
              <w:rPr>
                <w:rFonts w:ascii="宋体" w:hAnsi="宋体" w:eastAsia="宋体" w:cs="宋体"/>
                <w:spacing w:val="-2"/>
                <w:sz w:val="21"/>
                <w:szCs w:val="21"/>
              </w:rPr>
              <w:t>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87" w:type="dxa"/>
            <w:vAlign w:val="center"/>
          </w:tcPr>
          <w:p>
            <w:pPr>
              <w:keepNext w:val="0"/>
              <w:keepLines w:val="0"/>
              <w:pageBreakBefore w:val="0"/>
              <w:widowControl w:val="0"/>
              <w:kinsoku/>
              <w:wordWrap/>
              <w:overflowPunct/>
              <w:topLinePunct w:val="0"/>
              <w:autoSpaceDE/>
              <w:autoSpaceDN/>
              <w:bidi w:val="0"/>
              <w:adjustRightInd/>
              <w:snapToGrid/>
              <w:spacing w:before="68" w:line="300" w:lineRule="exact"/>
              <w:ind w:left="64"/>
              <w:jc w:val="center"/>
              <w:textAlignment w:val="auto"/>
              <w:rPr>
                <w:rFonts w:ascii="宋体" w:hAnsi="宋体" w:eastAsia="宋体" w:cs="宋体"/>
                <w:sz w:val="21"/>
                <w:szCs w:val="21"/>
              </w:rPr>
            </w:pPr>
            <w:r>
              <w:rPr>
                <w:rFonts w:ascii="宋体" w:hAnsi="宋体" w:eastAsia="宋体" w:cs="宋体"/>
                <w:spacing w:val="-6"/>
                <w:sz w:val="21"/>
                <w:szCs w:val="21"/>
              </w:rPr>
              <w:t>1.</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before="68" w:line="300" w:lineRule="exact"/>
              <w:ind w:left="131"/>
              <w:jc w:val="center"/>
              <w:textAlignment w:val="auto"/>
              <w:rPr>
                <w:rFonts w:ascii="宋体" w:hAnsi="宋体" w:eastAsia="宋体" w:cs="宋体"/>
                <w:sz w:val="21"/>
                <w:szCs w:val="21"/>
              </w:rPr>
            </w:pPr>
            <w:r>
              <w:rPr>
                <w:rFonts w:ascii="宋体" w:hAnsi="宋体" w:eastAsia="宋体" w:cs="宋体"/>
                <w:spacing w:val="6"/>
                <w:sz w:val="21"/>
                <w:szCs w:val="21"/>
              </w:rPr>
              <w:t>车型</w:t>
            </w:r>
          </w:p>
        </w:tc>
        <w:tc>
          <w:tcPr>
            <w:tcW w:w="1306" w:type="dxa"/>
            <w:vAlign w:val="center"/>
          </w:tcPr>
          <w:p>
            <w:pPr>
              <w:keepNext w:val="0"/>
              <w:keepLines w:val="0"/>
              <w:pageBreakBefore w:val="0"/>
              <w:widowControl w:val="0"/>
              <w:kinsoku/>
              <w:wordWrap/>
              <w:overflowPunct/>
              <w:topLinePunct w:val="0"/>
              <w:autoSpaceDE/>
              <w:autoSpaceDN/>
              <w:bidi w:val="0"/>
              <w:adjustRightInd/>
              <w:snapToGrid/>
              <w:spacing w:before="68" w:line="300" w:lineRule="exact"/>
              <w:ind w:left="172"/>
              <w:jc w:val="center"/>
              <w:textAlignment w:val="auto"/>
              <w:rPr>
                <w:rFonts w:ascii="宋体" w:hAnsi="宋体" w:eastAsia="宋体" w:cs="宋体"/>
                <w:sz w:val="21"/>
                <w:szCs w:val="21"/>
              </w:rPr>
            </w:pPr>
            <w:r>
              <w:rPr>
                <w:rFonts w:ascii="宋体" w:hAnsi="宋体" w:eastAsia="宋体" w:cs="宋体"/>
                <w:spacing w:val="3"/>
                <w:sz w:val="21"/>
                <w:szCs w:val="21"/>
              </w:rPr>
              <w:t>基础车型</w:t>
            </w:r>
          </w:p>
        </w:tc>
        <w:tc>
          <w:tcPr>
            <w:tcW w:w="679" w:type="dxa"/>
            <w:vAlign w:val="center"/>
          </w:tcPr>
          <w:p>
            <w:pPr>
              <w:keepNext w:val="0"/>
              <w:keepLines w:val="0"/>
              <w:pageBreakBefore w:val="0"/>
              <w:widowControl w:val="0"/>
              <w:kinsoku/>
              <w:wordWrap/>
              <w:overflowPunct/>
              <w:topLinePunct w:val="0"/>
              <w:autoSpaceDE/>
              <w:autoSpaceDN/>
              <w:bidi w:val="0"/>
              <w:adjustRightInd/>
              <w:snapToGrid/>
              <w:spacing w:before="68" w:line="300" w:lineRule="exact"/>
              <w:ind w:left="142"/>
              <w:jc w:val="center"/>
              <w:textAlignment w:val="auto"/>
              <w:rPr>
                <w:rFonts w:ascii="宋体" w:hAnsi="宋体" w:eastAsia="宋体" w:cs="宋体"/>
                <w:sz w:val="21"/>
                <w:szCs w:val="21"/>
              </w:rPr>
            </w:pPr>
            <w:r>
              <w:rPr>
                <w:rFonts w:ascii="宋体" w:hAnsi="宋体" w:eastAsia="宋体" w:cs="宋体"/>
                <w:spacing w:val="-12"/>
                <w:sz w:val="21"/>
                <w:szCs w:val="21"/>
              </w:rPr>
              <w:t>1</w:t>
            </w:r>
            <w:r>
              <w:rPr>
                <w:rFonts w:ascii="宋体" w:hAnsi="宋体" w:eastAsia="宋体" w:cs="宋体"/>
                <w:spacing w:val="-29"/>
                <w:sz w:val="21"/>
                <w:szCs w:val="21"/>
              </w:rPr>
              <w:t xml:space="preserve"> </w:t>
            </w:r>
            <w:r>
              <w:rPr>
                <w:rFonts w:ascii="宋体" w:hAnsi="宋体" w:eastAsia="宋体" w:cs="宋体"/>
                <w:spacing w:val="-12"/>
                <w:sz w:val="21"/>
                <w:szCs w:val="21"/>
              </w:rPr>
              <w:t>台</w:t>
            </w:r>
          </w:p>
        </w:tc>
        <w:tc>
          <w:tcPr>
            <w:tcW w:w="5650" w:type="dxa"/>
            <w:vAlign w:val="center"/>
          </w:tcPr>
          <w:p>
            <w:pPr>
              <w:keepNext w:val="0"/>
              <w:keepLines w:val="0"/>
              <w:pageBreakBefore w:val="0"/>
              <w:widowControl w:val="0"/>
              <w:kinsoku/>
              <w:wordWrap/>
              <w:overflowPunct/>
              <w:topLinePunct w:val="0"/>
              <w:autoSpaceDE/>
              <w:autoSpaceDN/>
              <w:bidi w:val="0"/>
              <w:adjustRightInd/>
              <w:snapToGrid/>
              <w:spacing w:before="79" w:line="280" w:lineRule="exact"/>
              <w:ind w:left="125"/>
              <w:jc w:val="left"/>
              <w:textAlignment w:val="auto"/>
              <w:rPr>
                <w:rFonts w:ascii="宋体" w:hAnsi="宋体" w:eastAsia="宋体" w:cs="宋体"/>
                <w:sz w:val="21"/>
                <w:szCs w:val="21"/>
              </w:rPr>
            </w:pPr>
            <w:r>
              <w:rPr>
                <w:rFonts w:ascii="宋体" w:hAnsi="宋体" w:eastAsia="宋体" w:cs="宋体"/>
                <w:spacing w:val="17"/>
                <w:sz w:val="21"/>
                <w:szCs w:val="21"/>
              </w:rPr>
              <w:t>(1)▲长×宽×高(</w:t>
            </w:r>
            <w:r>
              <w:rPr>
                <w:rFonts w:ascii="宋体" w:hAnsi="宋体" w:eastAsia="宋体" w:cs="宋体"/>
                <w:sz w:val="21"/>
                <w:szCs w:val="21"/>
              </w:rPr>
              <w:t>mm</w:t>
            </w:r>
            <w:r>
              <w:rPr>
                <w:rFonts w:ascii="宋体" w:hAnsi="宋体" w:eastAsia="宋体" w:cs="宋体"/>
                <w:spacing w:val="17"/>
                <w:sz w:val="21"/>
                <w:szCs w:val="21"/>
              </w:rPr>
              <w:t>):≥5350×1850×1850</w:t>
            </w:r>
          </w:p>
          <w:p>
            <w:pPr>
              <w:keepNext w:val="0"/>
              <w:keepLines w:val="0"/>
              <w:pageBreakBefore w:val="0"/>
              <w:widowControl w:val="0"/>
              <w:kinsoku/>
              <w:wordWrap/>
              <w:overflowPunct/>
              <w:topLinePunct w:val="0"/>
              <w:autoSpaceDE/>
              <w:autoSpaceDN/>
              <w:bidi w:val="0"/>
              <w:adjustRightInd/>
              <w:snapToGrid/>
              <w:spacing w:before="109" w:line="280" w:lineRule="exact"/>
              <w:ind w:left="125"/>
              <w:jc w:val="left"/>
              <w:textAlignment w:val="auto"/>
              <w:rPr>
                <w:rFonts w:ascii="宋体" w:hAnsi="宋体" w:eastAsia="宋体" w:cs="宋体"/>
                <w:sz w:val="21"/>
                <w:szCs w:val="21"/>
              </w:rPr>
            </w:pPr>
            <w:r>
              <w:rPr>
                <w:rFonts w:ascii="宋体" w:hAnsi="宋体" w:eastAsia="宋体" w:cs="宋体"/>
                <w:spacing w:val="30"/>
                <w:sz w:val="21"/>
                <w:szCs w:val="21"/>
              </w:rPr>
              <w:t>(2)轴距(</w:t>
            </w:r>
            <w:r>
              <w:rPr>
                <w:rFonts w:ascii="宋体" w:hAnsi="宋体" w:eastAsia="宋体" w:cs="宋体"/>
                <w:sz w:val="21"/>
                <w:szCs w:val="21"/>
              </w:rPr>
              <w:t>mm</w:t>
            </w:r>
            <w:r>
              <w:rPr>
                <w:rFonts w:ascii="宋体" w:hAnsi="宋体" w:eastAsia="宋体" w:cs="宋体"/>
                <w:spacing w:val="30"/>
                <w:sz w:val="21"/>
                <w:szCs w:val="21"/>
              </w:rPr>
              <w:t>):≥3200</w:t>
            </w:r>
          </w:p>
          <w:p>
            <w:pPr>
              <w:keepNext w:val="0"/>
              <w:keepLines w:val="0"/>
              <w:pageBreakBefore w:val="0"/>
              <w:widowControl w:val="0"/>
              <w:kinsoku/>
              <w:wordWrap/>
              <w:overflowPunct/>
              <w:topLinePunct w:val="0"/>
              <w:autoSpaceDE/>
              <w:autoSpaceDN/>
              <w:bidi w:val="0"/>
              <w:adjustRightInd/>
              <w:snapToGrid/>
              <w:spacing w:before="120" w:line="280" w:lineRule="exact"/>
              <w:ind w:left="125"/>
              <w:jc w:val="left"/>
              <w:textAlignment w:val="auto"/>
              <w:rPr>
                <w:rFonts w:ascii="宋体" w:hAnsi="宋体" w:eastAsia="宋体" w:cs="宋体"/>
                <w:sz w:val="21"/>
                <w:szCs w:val="21"/>
              </w:rPr>
            </w:pPr>
            <w:r>
              <w:rPr>
                <w:rFonts w:ascii="宋体" w:hAnsi="宋体" w:eastAsia="宋体" w:cs="宋体"/>
                <w:spacing w:val="6"/>
                <w:sz w:val="21"/>
                <w:szCs w:val="21"/>
              </w:rPr>
              <w:t>(3)驱动电机数：单电机</w:t>
            </w:r>
          </w:p>
          <w:p>
            <w:pPr>
              <w:keepNext w:val="0"/>
              <w:keepLines w:val="0"/>
              <w:pageBreakBefore w:val="0"/>
              <w:widowControl w:val="0"/>
              <w:kinsoku/>
              <w:wordWrap/>
              <w:overflowPunct/>
              <w:topLinePunct w:val="0"/>
              <w:autoSpaceDE/>
              <w:autoSpaceDN/>
              <w:bidi w:val="0"/>
              <w:adjustRightInd/>
              <w:snapToGrid/>
              <w:spacing w:before="101" w:line="280" w:lineRule="exact"/>
              <w:ind w:left="125"/>
              <w:jc w:val="left"/>
              <w:textAlignment w:val="auto"/>
              <w:rPr>
                <w:rFonts w:ascii="宋体" w:hAnsi="宋体" w:eastAsia="宋体" w:cs="宋体"/>
                <w:sz w:val="21"/>
                <w:szCs w:val="21"/>
              </w:rPr>
            </w:pPr>
            <w:r>
              <w:rPr>
                <w:rFonts w:ascii="宋体" w:hAnsi="宋体" w:eastAsia="宋体" w:cs="宋体"/>
                <w:spacing w:val="3"/>
                <w:sz w:val="21"/>
                <w:szCs w:val="21"/>
              </w:rPr>
              <w:t>(4)电机类型：永磁/同步</w:t>
            </w:r>
          </w:p>
          <w:p>
            <w:pPr>
              <w:keepNext w:val="0"/>
              <w:keepLines w:val="0"/>
              <w:pageBreakBefore w:val="0"/>
              <w:widowControl w:val="0"/>
              <w:kinsoku/>
              <w:wordWrap/>
              <w:overflowPunct/>
              <w:topLinePunct w:val="0"/>
              <w:autoSpaceDE/>
              <w:autoSpaceDN/>
              <w:bidi w:val="0"/>
              <w:adjustRightInd/>
              <w:snapToGrid/>
              <w:spacing w:before="132" w:line="280" w:lineRule="exact"/>
              <w:ind w:left="125"/>
              <w:jc w:val="left"/>
              <w:textAlignment w:val="auto"/>
              <w:rPr>
                <w:rFonts w:ascii="宋体" w:hAnsi="宋体" w:eastAsia="宋体" w:cs="宋体"/>
                <w:sz w:val="21"/>
                <w:szCs w:val="21"/>
              </w:rPr>
            </w:pPr>
            <w:r>
              <w:rPr>
                <w:rFonts w:ascii="宋体" w:hAnsi="宋体" w:eastAsia="宋体" w:cs="宋体"/>
                <w:spacing w:val="22"/>
                <w:sz w:val="21"/>
                <w:szCs w:val="21"/>
              </w:rPr>
              <w:t>(5)工信部续航里程(</w:t>
            </w:r>
            <w:r>
              <w:rPr>
                <w:rFonts w:ascii="宋体" w:hAnsi="宋体" w:eastAsia="宋体" w:cs="宋体"/>
                <w:sz w:val="21"/>
                <w:szCs w:val="21"/>
              </w:rPr>
              <w:t>kw</w:t>
            </w:r>
            <w:r>
              <w:rPr>
                <w:rFonts w:ascii="宋体" w:hAnsi="宋体" w:eastAsia="宋体" w:cs="宋体"/>
                <w:spacing w:val="22"/>
                <w:sz w:val="21"/>
                <w:szCs w:val="21"/>
              </w:rPr>
              <w:t>):≥400</w:t>
            </w:r>
          </w:p>
          <w:p>
            <w:pPr>
              <w:keepNext w:val="0"/>
              <w:keepLines w:val="0"/>
              <w:pageBreakBefore w:val="0"/>
              <w:widowControl w:val="0"/>
              <w:kinsoku/>
              <w:wordWrap/>
              <w:overflowPunct/>
              <w:topLinePunct w:val="0"/>
              <w:autoSpaceDE/>
              <w:autoSpaceDN/>
              <w:bidi w:val="0"/>
              <w:adjustRightInd/>
              <w:snapToGrid/>
              <w:spacing w:before="131" w:line="280" w:lineRule="exact"/>
              <w:ind w:left="125"/>
              <w:jc w:val="left"/>
              <w:textAlignment w:val="auto"/>
              <w:rPr>
                <w:rFonts w:ascii="宋体" w:hAnsi="宋体" w:eastAsia="宋体" w:cs="宋体"/>
                <w:sz w:val="21"/>
                <w:szCs w:val="21"/>
              </w:rPr>
            </w:pPr>
            <w:r>
              <w:rPr>
                <w:rFonts w:ascii="宋体" w:hAnsi="宋体" w:eastAsia="宋体" w:cs="宋体"/>
                <w:spacing w:val="8"/>
                <w:sz w:val="21"/>
                <w:szCs w:val="21"/>
              </w:rPr>
              <w:t>(6)变速箱：1档固定齿比变速箱</w:t>
            </w:r>
          </w:p>
          <w:p>
            <w:pPr>
              <w:keepNext w:val="0"/>
              <w:keepLines w:val="0"/>
              <w:pageBreakBefore w:val="0"/>
              <w:widowControl w:val="0"/>
              <w:kinsoku/>
              <w:wordWrap/>
              <w:overflowPunct/>
              <w:topLinePunct w:val="0"/>
              <w:autoSpaceDE/>
              <w:autoSpaceDN/>
              <w:bidi w:val="0"/>
              <w:adjustRightInd/>
              <w:snapToGrid/>
              <w:spacing w:before="109" w:line="280" w:lineRule="exact"/>
              <w:ind w:left="125"/>
              <w:jc w:val="left"/>
              <w:textAlignment w:val="auto"/>
              <w:rPr>
                <w:rFonts w:ascii="宋体" w:hAnsi="宋体" w:eastAsia="宋体" w:cs="宋体"/>
                <w:sz w:val="21"/>
                <w:szCs w:val="21"/>
              </w:rPr>
            </w:pPr>
            <w:r>
              <w:rPr>
                <w:rFonts w:ascii="宋体" w:hAnsi="宋体" w:eastAsia="宋体" w:cs="宋体"/>
                <w:spacing w:val="23"/>
                <w:sz w:val="21"/>
                <w:szCs w:val="21"/>
              </w:rPr>
              <w:t>(7)电动机最大功率(</w:t>
            </w:r>
            <w:r>
              <w:rPr>
                <w:rFonts w:ascii="宋体" w:hAnsi="宋体" w:eastAsia="宋体" w:cs="宋体"/>
                <w:sz w:val="21"/>
                <w:szCs w:val="21"/>
              </w:rPr>
              <w:t>kW</w:t>
            </w:r>
            <w:r>
              <w:rPr>
                <w:rFonts w:ascii="宋体" w:hAnsi="宋体" w:eastAsia="宋体" w:cs="宋体"/>
                <w:spacing w:val="23"/>
                <w:sz w:val="21"/>
                <w:szCs w:val="21"/>
              </w:rPr>
              <w:t>):≥150</w:t>
            </w:r>
          </w:p>
          <w:p>
            <w:pPr>
              <w:keepNext w:val="0"/>
              <w:keepLines w:val="0"/>
              <w:pageBreakBefore w:val="0"/>
              <w:widowControl w:val="0"/>
              <w:kinsoku/>
              <w:wordWrap/>
              <w:overflowPunct/>
              <w:topLinePunct w:val="0"/>
              <w:autoSpaceDE/>
              <w:autoSpaceDN/>
              <w:bidi w:val="0"/>
              <w:adjustRightInd/>
              <w:snapToGrid/>
              <w:spacing w:before="121" w:line="280" w:lineRule="exact"/>
              <w:ind w:left="125"/>
              <w:jc w:val="left"/>
              <w:textAlignment w:val="auto"/>
              <w:rPr>
                <w:rFonts w:ascii="宋体" w:hAnsi="宋体" w:eastAsia="宋体" w:cs="宋体"/>
                <w:sz w:val="21"/>
                <w:szCs w:val="21"/>
              </w:rPr>
            </w:pPr>
            <w:r>
              <w:rPr>
                <w:rFonts w:ascii="宋体" w:hAnsi="宋体" w:eastAsia="宋体" w:cs="宋体"/>
                <w:spacing w:val="19"/>
                <w:sz w:val="21"/>
                <w:szCs w:val="21"/>
              </w:rPr>
              <w:t>(8)电动机最大扭矩(N.m):≥300</w:t>
            </w:r>
          </w:p>
          <w:p>
            <w:pPr>
              <w:keepNext w:val="0"/>
              <w:keepLines w:val="0"/>
              <w:pageBreakBefore w:val="0"/>
              <w:widowControl w:val="0"/>
              <w:kinsoku/>
              <w:wordWrap/>
              <w:overflowPunct/>
              <w:topLinePunct w:val="0"/>
              <w:autoSpaceDE/>
              <w:autoSpaceDN/>
              <w:bidi w:val="0"/>
              <w:adjustRightInd/>
              <w:snapToGrid/>
              <w:spacing w:before="103" w:line="280" w:lineRule="exact"/>
              <w:ind w:left="125"/>
              <w:jc w:val="left"/>
              <w:textAlignment w:val="auto"/>
              <w:rPr>
                <w:rFonts w:ascii="宋体" w:hAnsi="宋体" w:eastAsia="宋体" w:cs="宋体"/>
                <w:sz w:val="21"/>
                <w:szCs w:val="21"/>
              </w:rPr>
            </w:pPr>
            <w:r>
              <w:rPr>
                <w:rFonts w:ascii="宋体" w:hAnsi="宋体" w:eastAsia="宋体" w:cs="宋体"/>
                <w:spacing w:val="3"/>
                <w:sz w:val="21"/>
                <w:szCs w:val="21"/>
              </w:rPr>
              <w:t>(9)驱动方式：后置后驱</w:t>
            </w:r>
          </w:p>
          <w:p>
            <w:pPr>
              <w:keepNext w:val="0"/>
              <w:keepLines w:val="0"/>
              <w:pageBreakBefore w:val="0"/>
              <w:widowControl w:val="0"/>
              <w:kinsoku/>
              <w:wordWrap/>
              <w:overflowPunct/>
              <w:topLinePunct w:val="0"/>
              <w:autoSpaceDE/>
              <w:autoSpaceDN/>
              <w:bidi w:val="0"/>
              <w:adjustRightInd/>
              <w:snapToGrid/>
              <w:spacing w:before="118" w:line="280" w:lineRule="exact"/>
              <w:ind w:left="125"/>
              <w:jc w:val="left"/>
              <w:textAlignment w:val="auto"/>
              <w:rPr>
                <w:rFonts w:ascii="宋体" w:hAnsi="宋体" w:eastAsia="宋体" w:cs="宋体"/>
                <w:sz w:val="21"/>
                <w:szCs w:val="21"/>
              </w:rPr>
            </w:pPr>
            <w:r>
              <w:rPr>
                <w:rFonts w:ascii="宋体" w:hAnsi="宋体" w:eastAsia="宋体" w:cs="宋体"/>
                <w:sz w:val="21"/>
                <w:szCs w:val="21"/>
              </w:rPr>
              <w:t>(10)前悬架类型：双叉臂式独立悬架</w:t>
            </w:r>
          </w:p>
          <w:p>
            <w:pPr>
              <w:keepNext w:val="0"/>
              <w:keepLines w:val="0"/>
              <w:pageBreakBefore w:val="0"/>
              <w:widowControl w:val="0"/>
              <w:kinsoku/>
              <w:wordWrap/>
              <w:overflowPunct/>
              <w:topLinePunct w:val="0"/>
              <w:autoSpaceDE/>
              <w:autoSpaceDN/>
              <w:bidi w:val="0"/>
              <w:adjustRightInd/>
              <w:snapToGrid/>
              <w:spacing w:before="122" w:line="280" w:lineRule="exact"/>
              <w:ind w:left="125"/>
              <w:jc w:val="left"/>
              <w:textAlignment w:val="auto"/>
              <w:rPr>
                <w:rFonts w:ascii="宋体" w:hAnsi="宋体" w:eastAsia="宋体" w:cs="宋体"/>
                <w:sz w:val="21"/>
                <w:szCs w:val="21"/>
              </w:rPr>
            </w:pPr>
            <w:r>
              <w:rPr>
                <w:rFonts w:ascii="宋体" w:hAnsi="宋体" w:eastAsia="宋体" w:cs="宋体"/>
                <w:sz w:val="21"/>
                <w:szCs w:val="21"/>
              </w:rPr>
              <w:t>(11)后悬架类型：整体桥非独立悬架</w:t>
            </w:r>
          </w:p>
          <w:p>
            <w:pPr>
              <w:keepNext w:val="0"/>
              <w:keepLines w:val="0"/>
              <w:pageBreakBefore w:val="0"/>
              <w:widowControl w:val="0"/>
              <w:kinsoku/>
              <w:wordWrap/>
              <w:overflowPunct/>
              <w:topLinePunct w:val="0"/>
              <w:autoSpaceDE/>
              <w:autoSpaceDN/>
              <w:bidi w:val="0"/>
              <w:adjustRightInd/>
              <w:snapToGrid/>
              <w:spacing w:before="131" w:line="280" w:lineRule="exact"/>
              <w:ind w:left="125"/>
              <w:jc w:val="left"/>
              <w:textAlignment w:val="auto"/>
              <w:rPr>
                <w:rFonts w:ascii="宋体" w:hAnsi="宋体" w:eastAsia="宋体" w:cs="宋体"/>
                <w:sz w:val="21"/>
                <w:szCs w:val="21"/>
              </w:rPr>
            </w:pPr>
            <w:r>
              <w:rPr>
                <w:rFonts w:ascii="宋体" w:hAnsi="宋体" w:eastAsia="宋体" w:cs="宋体"/>
                <w:sz w:val="21"/>
                <w:szCs w:val="21"/>
              </w:rPr>
              <w:t>(12)车体结构：非承载式</w:t>
            </w:r>
          </w:p>
          <w:p>
            <w:pPr>
              <w:keepNext w:val="0"/>
              <w:keepLines w:val="0"/>
              <w:pageBreakBefore w:val="0"/>
              <w:widowControl w:val="0"/>
              <w:kinsoku/>
              <w:wordWrap/>
              <w:overflowPunct/>
              <w:topLinePunct w:val="0"/>
              <w:autoSpaceDE/>
              <w:autoSpaceDN/>
              <w:bidi w:val="0"/>
              <w:adjustRightInd/>
              <w:snapToGrid/>
              <w:spacing w:before="111" w:line="280" w:lineRule="exact"/>
              <w:ind w:left="125"/>
              <w:jc w:val="left"/>
              <w:textAlignment w:val="auto"/>
              <w:rPr>
                <w:rFonts w:ascii="宋体" w:hAnsi="宋体" w:eastAsia="宋体" w:cs="宋体"/>
                <w:sz w:val="21"/>
                <w:szCs w:val="21"/>
              </w:rPr>
            </w:pPr>
            <w:r>
              <w:rPr>
                <w:rFonts w:ascii="宋体" w:hAnsi="宋体" w:eastAsia="宋体" w:cs="宋体"/>
                <w:sz w:val="21"/>
                <w:szCs w:val="21"/>
              </w:rPr>
              <w:t>(13)前轮胎规格：≥245/70</w:t>
            </w:r>
            <w:r>
              <w:rPr>
                <w:rFonts w:ascii="宋体" w:hAnsi="宋体" w:eastAsia="宋体" w:cs="宋体"/>
                <w:spacing w:val="12"/>
                <w:sz w:val="21"/>
                <w:szCs w:val="21"/>
              </w:rPr>
              <w:t xml:space="preserve"> </w:t>
            </w:r>
            <w:r>
              <w:rPr>
                <w:rFonts w:ascii="宋体" w:hAnsi="宋体" w:eastAsia="宋体" w:cs="宋体"/>
                <w:sz w:val="21"/>
                <w:szCs w:val="21"/>
              </w:rPr>
              <w:t>R17</w:t>
            </w:r>
          </w:p>
          <w:p>
            <w:pPr>
              <w:keepNext w:val="0"/>
              <w:keepLines w:val="0"/>
              <w:pageBreakBefore w:val="0"/>
              <w:widowControl w:val="0"/>
              <w:kinsoku/>
              <w:wordWrap/>
              <w:overflowPunct/>
              <w:topLinePunct w:val="0"/>
              <w:autoSpaceDE/>
              <w:autoSpaceDN/>
              <w:bidi w:val="0"/>
              <w:adjustRightInd/>
              <w:snapToGrid/>
              <w:spacing w:before="101" w:line="280" w:lineRule="exact"/>
              <w:ind w:left="125"/>
              <w:jc w:val="left"/>
              <w:textAlignment w:val="auto"/>
              <w:rPr>
                <w:rFonts w:ascii="宋体" w:hAnsi="宋体" w:eastAsia="宋体" w:cs="宋体"/>
                <w:sz w:val="21"/>
                <w:szCs w:val="21"/>
              </w:rPr>
            </w:pPr>
            <w:r>
              <w:rPr>
                <w:rFonts w:ascii="宋体" w:hAnsi="宋体" w:eastAsia="宋体" w:cs="宋体"/>
                <w:sz w:val="21"/>
                <w:szCs w:val="21"/>
              </w:rPr>
              <w:t>(14)后轮胎规格：≥265/65</w:t>
            </w:r>
            <w:r>
              <w:rPr>
                <w:rFonts w:ascii="宋体" w:hAnsi="宋体" w:eastAsia="宋体" w:cs="宋体"/>
                <w:spacing w:val="12"/>
                <w:sz w:val="21"/>
                <w:szCs w:val="21"/>
              </w:rPr>
              <w:t xml:space="preserve"> </w:t>
            </w:r>
            <w:r>
              <w:rPr>
                <w:rFonts w:ascii="宋体" w:hAnsi="宋体" w:eastAsia="宋体" w:cs="宋体"/>
                <w:sz w:val="21"/>
                <w:szCs w:val="21"/>
              </w:rPr>
              <w:t>R17</w:t>
            </w:r>
          </w:p>
          <w:p>
            <w:pPr>
              <w:keepNext w:val="0"/>
              <w:keepLines w:val="0"/>
              <w:pageBreakBefore w:val="0"/>
              <w:widowControl w:val="0"/>
              <w:kinsoku/>
              <w:wordWrap/>
              <w:overflowPunct/>
              <w:topLinePunct w:val="0"/>
              <w:autoSpaceDE/>
              <w:autoSpaceDN/>
              <w:bidi w:val="0"/>
              <w:adjustRightInd/>
              <w:snapToGrid/>
              <w:spacing w:before="121" w:line="280" w:lineRule="exact"/>
              <w:ind w:left="125"/>
              <w:jc w:val="left"/>
              <w:textAlignment w:val="auto"/>
              <w:rPr>
                <w:rFonts w:ascii="宋体" w:hAnsi="宋体" w:eastAsia="宋体" w:cs="宋体"/>
                <w:sz w:val="21"/>
                <w:szCs w:val="21"/>
              </w:rPr>
            </w:pPr>
            <w:r>
              <w:rPr>
                <w:rFonts w:ascii="宋体" w:hAnsi="宋体" w:eastAsia="宋体" w:cs="宋体"/>
                <w:sz w:val="21"/>
                <w:szCs w:val="21"/>
              </w:rPr>
              <w:t>(15)▲电池类型：三元锂电池</w:t>
            </w:r>
          </w:p>
          <w:p>
            <w:pPr>
              <w:keepNext w:val="0"/>
              <w:keepLines w:val="0"/>
              <w:pageBreakBefore w:val="0"/>
              <w:widowControl w:val="0"/>
              <w:kinsoku/>
              <w:wordWrap/>
              <w:overflowPunct/>
              <w:topLinePunct w:val="0"/>
              <w:autoSpaceDE/>
              <w:autoSpaceDN/>
              <w:bidi w:val="0"/>
              <w:adjustRightInd/>
              <w:snapToGrid/>
              <w:spacing w:before="121" w:line="280" w:lineRule="exact"/>
              <w:ind w:left="125"/>
              <w:jc w:val="left"/>
              <w:textAlignment w:val="auto"/>
              <w:rPr>
                <w:rFonts w:ascii="宋体" w:hAnsi="宋体" w:eastAsia="宋体" w:cs="宋体"/>
                <w:sz w:val="21"/>
                <w:szCs w:val="21"/>
              </w:rPr>
            </w:pP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供应商需提供中华人民共和国工业和信息化部《道路机动车辆生产企业及产品公告》的公告企业证明（代理商投标的需提供上述厂家证明文件及授权文件）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jc w:val="center"/>
        </w:trPr>
        <w:tc>
          <w:tcPr>
            <w:tcW w:w="58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257" w:line="300" w:lineRule="exact"/>
              <w:ind w:left="64"/>
              <w:jc w:val="center"/>
              <w:textAlignment w:val="auto"/>
              <w:rPr>
                <w:rFonts w:ascii="宋体" w:hAnsi="宋体" w:eastAsia="宋体" w:cs="宋体"/>
                <w:sz w:val="21"/>
                <w:szCs w:val="21"/>
              </w:rPr>
            </w:pPr>
            <w:r>
              <w:rPr>
                <w:rFonts w:ascii="宋体" w:hAnsi="宋体" w:eastAsia="宋体" w:cs="宋体"/>
                <w:spacing w:val="-3"/>
                <w:sz w:val="21"/>
                <w:szCs w:val="21"/>
              </w:rPr>
              <w:t>2.</w:t>
            </w:r>
          </w:p>
        </w:tc>
        <w:tc>
          <w:tcPr>
            <w:tcW w:w="75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73" w:line="300" w:lineRule="exact"/>
              <w:ind w:left="131" w:right="128"/>
              <w:jc w:val="center"/>
              <w:textAlignment w:val="auto"/>
              <w:rPr>
                <w:rFonts w:ascii="宋体" w:hAnsi="宋体" w:eastAsia="宋体" w:cs="宋体"/>
                <w:sz w:val="21"/>
                <w:szCs w:val="21"/>
              </w:rPr>
            </w:pPr>
            <w:r>
              <w:rPr>
                <w:rFonts w:ascii="宋体" w:hAnsi="宋体" w:eastAsia="宋体" w:cs="宋体"/>
                <w:spacing w:val="4"/>
                <w:sz w:val="21"/>
                <w:szCs w:val="21"/>
              </w:rPr>
              <w:t>外饰</w:t>
            </w:r>
            <w:r>
              <w:rPr>
                <w:rFonts w:ascii="宋体" w:hAnsi="宋体" w:eastAsia="宋体" w:cs="宋体"/>
                <w:sz w:val="21"/>
                <w:szCs w:val="21"/>
              </w:rPr>
              <w:t xml:space="preserve"> </w:t>
            </w:r>
            <w:r>
              <w:rPr>
                <w:rFonts w:ascii="宋体" w:hAnsi="宋体" w:eastAsia="宋体" w:cs="宋体"/>
                <w:spacing w:val="4"/>
                <w:sz w:val="21"/>
                <w:szCs w:val="21"/>
              </w:rPr>
              <w:t>涂装</w:t>
            </w:r>
          </w:p>
        </w:tc>
        <w:tc>
          <w:tcPr>
            <w:tcW w:w="1306" w:type="dxa"/>
            <w:vAlign w:val="center"/>
          </w:tcPr>
          <w:p>
            <w:pPr>
              <w:keepNext w:val="0"/>
              <w:keepLines w:val="0"/>
              <w:pageBreakBefore w:val="0"/>
              <w:widowControl w:val="0"/>
              <w:kinsoku/>
              <w:wordWrap/>
              <w:overflowPunct/>
              <w:topLinePunct w:val="0"/>
              <w:autoSpaceDE/>
              <w:autoSpaceDN/>
              <w:bidi w:val="0"/>
              <w:adjustRightInd/>
              <w:snapToGrid/>
              <w:spacing w:before="54" w:line="300" w:lineRule="exact"/>
              <w:ind w:left="172"/>
              <w:jc w:val="center"/>
              <w:textAlignment w:val="auto"/>
              <w:rPr>
                <w:rFonts w:ascii="宋体" w:hAnsi="宋体" w:eastAsia="宋体" w:cs="宋体"/>
                <w:sz w:val="21"/>
                <w:szCs w:val="21"/>
              </w:rPr>
            </w:pPr>
            <w:r>
              <w:rPr>
                <w:rFonts w:ascii="宋体" w:hAnsi="宋体" w:eastAsia="宋体" w:cs="宋体"/>
                <w:spacing w:val="2"/>
                <w:sz w:val="21"/>
                <w:szCs w:val="21"/>
              </w:rPr>
              <w:t>外观喷涂</w:t>
            </w:r>
          </w:p>
        </w:tc>
        <w:tc>
          <w:tcPr>
            <w:tcW w:w="679" w:type="dxa"/>
            <w:vAlign w:val="center"/>
          </w:tcPr>
          <w:p>
            <w:pPr>
              <w:keepNext w:val="0"/>
              <w:keepLines w:val="0"/>
              <w:pageBreakBefore w:val="0"/>
              <w:widowControl w:val="0"/>
              <w:kinsoku/>
              <w:wordWrap/>
              <w:overflowPunct/>
              <w:topLinePunct w:val="0"/>
              <w:autoSpaceDE/>
              <w:autoSpaceDN/>
              <w:bidi w:val="0"/>
              <w:adjustRightInd/>
              <w:snapToGrid/>
              <w:spacing w:before="54" w:line="300" w:lineRule="exact"/>
              <w:ind w:left="142"/>
              <w:jc w:val="center"/>
              <w:textAlignment w:val="auto"/>
              <w:rPr>
                <w:rFonts w:ascii="宋体" w:hAnsi="宋体" w:eastAsia="宋体" w:cs="宋体"/>
                <w:sz w:val="21"/>
                <w:szCs w:val="21"/>
              </w:rPr>
            </w:pPr>
            <w:r>
              <w:rPr>
                <w:rFonts w:ascii="宋体" w:hAnsi="宋体" w:eastAsia="宋体" w:cs="宋体"/>
                <w:spacing w:val="7"/>
                <w:sz w:val="21"/>
                <w:szCs w:val="21"/>
              </w:rPr>
              <w:t>1套</w:t>
            </w:r>
          </w:p>
        </w:tc>
        <w:tc>
          <w:tcPr>
            <w:tcW w:w="5650" w:type="dxa"/>
            <w:vAlign w:val="center"/>
          </w:tcPr>
          <w:p>
            <w:pPr>
              <w:keepNext w:val="0"/>
              <w:keepLines w:val="0"/>
              <w:pageBreakBefore w:val="0"/>
              <w:widowControl w:val="0"/>
              <w:kinsoku/>
              <w:wordWrap/>
              <w:overflowPunct/>
              <w:topLinePunct w:val="0"/>
              <w:autoSpaceDE/>
              <w:autoSpaceDN/>
              <w:bidi w:val="0"/>
              <w:adjustRightInd/>
              <w:snapToGrid/>
              <w:spacing w:before="53" w:line="300" w:lineRule="exact"/>
              <w:ind w:left="124"/>
              <w:jc w:val="left"/>
              <w:textAlignment w:val="auto"/>
              <w:rPr>
                <w:rFonts w:ascii="宋体" w:hAnsi="宋体" w:eastAsia="宋体" w:cs="宋体"/>
                <w:sz w:val="21"/>
                <w:szCs w:val="21"/>
              </w:rPr>
            </w:pPr>
            <w:r>
              <w:rPr>
                <w:rFonts w:ascii="宋体" w:hAnsi="宋体" w:eastAsia="宋体" w:cs="宋体"/>
                <w:sz w:val="21"/>
                <w:szCs w:val="21"/>
              </w:rPr>
              <w:t>公安喷涂，面漆，警徽、彩条，喷字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58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sz w:val="21"/>
              </w:rPr>
            </w:pPr>
          </w:p>
        </w:tc>
        <w:tc>
          <w:tcPr>
            <w:tcW w:w="75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sz w:val="21"/>
              </w:rPr>
            </w:pPr>
          </w:p>
        </w:tc>
        <w:tc>
          <w:tcPr>
            <w:tcW w:w="1306" w:type="dxa"/>
            <w:vAlign w:val="center"/>
          </w:tcPr>
          <w:p>
            <w:pPr>
              <w:keepNext w:val="0"/>
              <w:keepLines w:val="0"/>
              <w:pageBreakBefore w:val="0"/>
              <w:widowControl w:val="0"/>
              <w:kinsoku/>
              <w:wordWrap/>
              <w:overflowPunct/>
              <w:topLinePunct w:val="0"/>
              <w:autoSpaceDE/>
              <w:autoSpaceDN/>
              <w:bidi w:val="0"/>
              <w:adjustRightInd/>
              <w:snapToGrid/>
              <w:spacing w:before="53" w:line="300" w:lineRule="exact"/>
              <w:ind w:left="172"/>
              <w:jc w:val="center"/>
              <w:textAlignment w:val="auto"/>
              <w:rPr>
                <w:rFonts w:ascii="宋体" w:hAnsi="宋体" w:eastAsia="宋体" w:cs="宋体"/>
                <w:sz w:val="21"/>
                <w:szCs w:val="21"/>
              </w:rPr>
            </w:pPr>
            <w:r>
              <w:rPr>
                <w:rFonts w:ascii="宋体" w:hAnsi="宋体" w:eastAsia="宋体" w:cs="宋体"/>
                <w:spacing w:val="-2"/>
                <w:sz w:val="21"/>
                <w:szCs w:val="21"/>
              </w:rPr>
              <w:t>辅助材料</w:t>
            </w:r>
          </w:p>
        </w:tc>
        <w:tc>
          <w:tcPr>
            <w:tcW w:w="679" w:type="dxa"/>
            <w:vAlign w:val="center"/>
          </w:tcPr>
          <w:p>
            <w:pPr>
              <w:keepNext w:val="0"/>
              <w:keepLines w:val="0"/>
              <w:pageBreakBefore w:val="0"/>
              <w:widowControl w:val="0"/>
              <w:kinsoku/>
              <w:wordWrap/>
              <w:overflowPunct/>
              <w:topLinePunct w:val="0"/>
              <w:autoSpaceDE/>
              <w:autoSpaceDN/>
              <w:bidi w:val="0"/>
              <w:adjustRightInd/>
              <w:snapToGrid/>
              <w:spacing w:before="54" w:line="300" w:lineRule="exact"/>
              <w:ind w:left="142"/>
              <w:jc w:val="center"/>
              <w:textAlignment w:val="auto"/>
              <w:rPr>
                <w:rFonts w:ascii="宋体" w:hAnsi="宋体" w:eastAsia="宋体" w:cs="宋体"/>
                <w:sz w:val="21"/>
                <w:szCs w:val="21"/>
              </w:rPr>
            </w:pPr>
            <w:r>
              <w:rPr>
                <w:rFonts w:ascii="宋体" w:hAnsi="宋体" w:eastAsia="宋体" w:cs="宋体"/>
                <w:spacing w:val="7"/>
                <w:sz w:val="21"/>
                <w:szCs w:val="21"/>
              </w:rPr>
              <w:t>1套</w:t>
            </w:r>
          </w:p>
        </w:tc>
        <w:tc>
          <w:tcPr>
            <w:tcW w:w="5650" w:type="dxa"/>
            <w:vAlign w:val="center"/>
          </w:tcPr>
          <w:p>
            <w:pPr>
              <w:keepNext w:val="0"/>
              <w:keepLines w:val="0"/>
              <w:pageBreakBefore w:val="0"/>
              <w:widowControl w:val="0"/>
              <w:kinsoku/>
              <w:wordWrap/>
              <w:overflowPunct/>
              <w:topLinePunct w:val="0"/>
              <w:autoSpaceDE/>
              <w:autoSpaceDN/>
              <w:bidi w:val="0"/>
              <w:adjustRightInd/>
              <w:snapToGrid/>
              <w:spacing w:before="53" w:line="300" w:lineRule="exact"/>
              <w:ind w:left="124"/>
              <w:jc w:val="left"/>
              <w:textAlignment w:val="auto"/>
              <w:rPr>
                <w:rFonts w:ascii="宋体" w:hAnsi="宋体" w:eastAsia="宋体" w:cs="宋体"/>
                <w:sz w:val="21"/>
                <w:szCs w:val="21"/>
              </w:rPr>
            </w:pPr>
            <w:r>
              <w:rPr>
                <w:rFonts w:ascii="宋体" w:hAnsi="宋体" w:eastAsia="宋体" w:cs="宋体"/>
                <w:spacing w:val="-1"/>
                <w:sz w:val="21"/>
                <w:szCs w:val="21"/>
              </w:rPr>
              <w:t>低值易耗品、非标件及辅材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jc w:val="center"/>
        </w:trPr>
        <w:tc>
          <w:tcPr>
            <w:tcW w:w="587" w:type="dxa"/>
            <w:vAlign w:val="center"/>
          </w:tcPr>
          <w:p>
            <w:pPr>
              <w:keepNext w:val="0"/>
              <w:keepLines w:val="0"/>
              <w:pageBreakBefore w:val="0"/>
              <w:widowControl w:val="0"/>
              <w:kinsoku/>
              <w:wordWrap/>
              <w:overflowPunct/>
              <w:topLinePunct w:val="0"/>
              <w:autoSpaceDE/>
              <w:autoSpaceDN/>
              <w:bidi w:val="0"/>
              <w:adjustRightInd/>
              <w:snapToGrid/>
              <w:spacing w:before="257" w:line="300" w:lineRule="exact"/>
              <w:ind w:left="64"/>
              <w:jc w:val="center"/>
              <w:textAlignment w:val="auto"/>
              <w:rPr>
                <w:rFonts w:ascii="宋体" w:hAnsi="宋体" w:eastAsia="宋体" w:cs="宋体"/>
                <w:sz w:val="21"/>
                <w:szCs w:val="21"/>
              </w:rPr>
            </w:pPr>
            <w:r>
              <w:rPr>
                <w:rFonts w:ascii="宋体" w:hAnsi="宋体" w:eastAsia="宋体" w:cs="宋体"/>
                <w:spacing w:val="-4"/>
                <w:sz w:val="21"/>
                <w:szCs w:val="21"/>
              </w:rPr>
              <w:t>3.</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before="73" w:line="300" w:lineRule="exact"/>
              <w:ind w:left="131" w:right="128"/>
              <w:jc w:val="center"/>
              <w:textAlignment w:val="auto"/>
              <w:rPr>
                <w:rFonts w:ascii="宋体" w:hAnsi="宋体" w:eastAsia="宋体" w:cs="宋体"/>
                <w:sz w:val="21"/>
                <w:szCs w:val="21"/>
              </w:rPr>
            </w:pPr>
            <w:r>
              <w:rPr>
                <w:rFonts w:ascii="宋体" w:hAnsi="宋体" w:eastAsia="宋体" w:cs="宋体"/>
                <w:spacing w:val="4"/>
                <w:sz w:val="21"/>
                <w:szCs w:val="21"/>
              </w:rPr>
              <w:t>警示</w:t>
            </w:r>
            <w:r>
              <w:rPr>
                <w:rFonts w:ascii="宋体" w:hAnsi="宋体" w:eastAsia="宋体" w:cs="宋体"/>
                <w:sz w:val="21"/>
                <w:szCs w:val="21"/>
              </w:rPr>
              <w:t xml:space="preserve"> </w:t>
            </w:r>
            <w:r>
              <w:rPr>
                <w:rFonts w:ascii="宋体" w:hAnsi="宋体" w:eastAsia="宋体" w:cs="宋体"/>
                <w:spacing w:val="4"/>
                <w:sz w:val="21"/>
                <w:szCs w:val="21"/>
              </w:rPr>
              <w:t>系统</w:t>
            </w:r>
          </w:p>
        </w:tc>
        <w:tc>
          <w:tcPr>
            <w:tcW w:w="1306" w:type="dxa"/>
            <w:vAlign w:val="center"/>
          </w:tcPr>
          <w:p>
            <w:pPr>
              <w:keepNext w:val="0"/>
              <w:keepLines w:val="0"/>
              <w:pageBreakBefore w:val="0"/>
              <w:widowControl w:val="0"/>
              <w:kinsoku/>
              <w:wordWrap/>
              <w:overflowPunct/>
              <w:topLinePunct w:val="0"/>
              <w:autoSpaceDE/>
              <w:autoSpaceDN/>
              <w:bidi w:val="0"/>
              <w:adjustRightInd/>
              <w:snapToGrid/>
              <w:spacing w:before="204" w:line="300" w:lineRule="exact"/>
              <w:ind w:left="172"/>
              <w:jc w:val="center"/>
              <w:textAlignment w:val="auto"/>
              <w:rPr>
                <w:rFonts w:ascii="宋体" w:hAnsi="宋体" w:eastAsia="宋体" w:cs="宋体"/>
                <w:sz w:val="21"/>
                <w:szCs w:val="21"/>
              </w:rPr>
            </w:pPr>
            <w:r>
              <w:rPr>
                <w:rFonts w:ascii="宋体" w:hAnsi="宋体" w:eastAsia="宋体" w:cs="宋体"/>
                <w:spacing w:val="3"/>
                <w:sz w:val="21"/>
                <w:szCs w:val="21"/>
              </w:rPr>
              <w:t>长排警灯</w:t>
            </w:r>
          </w:p>
        </w:tc>
        <w:tc>
          <w:tcPr>
            <w:tcW w:w="679" w:type="dxa"/>
            <w:vAlign w:val="center"/>
          </w:tcPr>
          <w:p>
            <w:pPr>
              <w:keepNext w:val="0"/>
              <w:keepLines w:val="0"/>
              <w:pageBreakBefore w:val="0"/>
              <w:widowControl w:val="0"/>
              <w:kinsoku/>
              <w:wordWrap/>
              <w:overflowPunct/>
              <w:topLinePunct w:val="0"/>
              <w:autoSpaceDE/>
              <w:autoSpaceDN/>
              <w:bidi w:val="0"/>
              <w:adjustRightInd/>
              <w:snapToGrid/>
              <w:spacing w:before="204" w:line="300" w:lineRule="exact"/>
              <w:ind w:left="142"/>
              <w:jc w:val="center"/>
              <w:textAlignment w:val="auto"/>
              <w:rPr>
                <w:rFonts w:ascii="宋体" w:hAnsi="宋体" w:eastAsia="宋体" w:cs="宋体"/>
                <w:sz w:val="21"/>
                <w:szCs w:val="21"/>
              </w:rPr>
            </w:pPr>
            <w:r>
              <w:rPr>
                <w:rFonts w:ascii="宋体" w:hAnsi="宋体" w:eastAsia="宋体" w:cs="宋体"/>
                <w:spacing w:val="7"/>
                <w:sz w:val="21"/>
                <w:szCs w:val="21"/>
              </w:rPr>
              <w:t>1套</w:t>
            </w:r>
          </w:p>
        </w:tc>
        <w:tc>
          <w:tcPr>
            <w:tcW w:w="5650" w:type="dxa"/>
            <w:vAlign w:val="center"/>
          </w:tcPr>
          <w:p>
            <w:pPr>
              <w:keepNext w:val="0"/>
              <w:keepLines w:val="0"/>
              <w:pageBreakBefore w:val="0"/>
              <w:widowControl w:val="0"/>
              <w:kinsoku/>
              <w:wordWrap/>
              <w:overflowPunct/>
              <w:topLinePunct w:val="0"/>
              <w:autoSpaceDE/>
              <w:autoSpaceDN/>
              <w:bidi w:val="0"/>
              <w:adjustRightInd/>
              <w:snapToGrid/>
              <w:spacing w:before="203" w:line="300" w:lineRule="exact"/>
              <w:ind w:left="124"/>
              <w:jc w:val="left"/>
              <w:textAlignment w:val="auto"/>
              <w:rPr>
                <w:rFonts w:ascii="宋体" w:hAnsi="宋体" w:eastAsia="宋体" w:cs="宋体"/>
                <w:sz w:val="21"/>
                <w:szCs w:val="21"/>
              </w:rPr>
            </w:pPr>
            <w:r>
              <w:rPr>
                <w:rFonts w:ascii="宋体" w:hAnsi="宋体" w:eastAsia="宋体" w:cs="宋体"/>
                <w:spacing w:val="2"/>
                <w:sz w:val="21"/>
                <w:szCs w:val="21"/>
              </w:rPr>
              <w:t>长排警灯，集成≥100W警报器，可对外喊话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4" w:hRule="atLeast"/>
          <w:jc w:val="center"/>
        </w:trPr>
        <w:tc>
          <w:tcPr>
            <w:tcW w:w="58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69" w:line="300" w:lineRule="exact"/>
              <w:ind w:left="64"/>
              <w:jc w:val="center"/>
              <w:textAlignment w:val="auto"/>
              <w:rPr>
                <w:rFonts w:ascii="宋体" w:hAnsi="宋体" w:eastAsia="宋体" w:cs="宋体"/>
                <w:sz w:val="21"/>
                <w:szCs w:val="21"/>
              </w:rPr>
            </w:pPr>
            <w:r>
              <w:rPr>
                <w:rFonts w:ascii="宋体" w:hAnsi="宋体" w:eastAsia="宋体" w:cs="宋体"/>
                <w:spacing w:val="-2"/>
                <w:sz w:val="21"/>
                <w:szCs w:val="21"/>
              </w:rPr>
              <w:t>4.</w:t>
            </w:r>
          </w:p>
        </w:tc>
        <w:tc>
          <w:tcPr>
            <w:tcW w:w="75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69" w:line="300" w:lineRule="exact"/>
              <w:ind w:left="131" w:right="127"/>
              <w:jc w:val="center"/>
              <w:textAlignment w:val="auto"/>
              <w:rPr>
                <w:rFonts w:ascii="宋体" w:hAnsi="宋体" w:eastAsia="宋体" w:cs="宋体"/>
                <w:sz w:val="21"/>
                <w:szCs w:val="21"/>
              </w:rPr>
            </w:pPr>
            <w:r>
              <w:rPr>
                <w:rFonts w:ascii="宋体" w:hAnsi="宋体" w:eastAsia="宋体" w:cs="宋体"/>
                <w:spacing w:val="-5"/>
                <w:sz w:val="21"/>
                <w:szCs w:val="21"/>
              </w:rPr>
              <w:t>监控</w:t>
            </w:r>
            <w:r>
              <w:rPr>
                <w:rFonts w:ascii="宋体" w:hAnsi="宋体" w:eastAsia="宋体" w:cs="宋体"/>
                <w:sz w:val="21"/>
                <w:szCs w:val="21"/>
              </w:rPr>
              <w:t xml:space="preserve"> </w:t>
            </w:r>
            <w:r>
              <w:rPr>
                <w:rFonts w:ascii="宋体" w:hAnsi="宋体" w:eastAsia="宋体" w:cs="宋体"/>
                <w:spacing w:val="5"/>
                <w:sz w:val="21"/>
                <w:szCs w:val="21"/>
              </w:rPr>
              <w:t>图传</w:t>
            </w:r>
            <w:r>
              <w:rPr>
                <w:rFonts w:ascii="宋体" w:hAnsi="宋体" w:eastAsia="宋体" w:cs="宋体"/>
                <w:sz w:val="21"/>
                <w:szCs w:val="21"/>
              </w:rPr>
              <w:t xml:space="preserve"> </w:t>
            </w:r>
            <w:r>
              <w:rPr>
                <w:rFonts w:ascii="宋体" w:hAnsi="宋体" w:eastAsia="宋体" w:cs="宋体"/>
                <w:spacing w:val="4"/>
                <w:sz w:val="21"/>
                <w:szCs w:val="21"/>
              </w:rPr>
              <w:t>系统</w:t>
            </w:r>
          </w:p>
        </w:tc>
        <w:tc>
          <w:tcPr>
            <w:tcW w:w="1306" w:type="dxa"/>
            <w:vAlign w:val="center"/>
          </w:tcPr>
          <w:p>
            <w:pPr>
              <w:keepNext w:val="0"/>
              <w:keepLines w:val="0"/>
              <w:pageBreakBefore w:val="0"/>
              <w:widowControl w:val="0"/>
              <w:kinsoku/>
              <w:wordWrap/>
              <w:overflowPunct/>
              <w:topLinePunct w:val="0"/>
              <w:autoSpaceDE/>
              <w:autoSpaceDN/>
              <w:bidi w:val="0"/>
              <w:adjustRightInd/>
              <w:snapToGrid/>
              <w:spacing w:before="68" w:line="300" w:lineRule="exact"/>
              <w:ind w:left="492" w:right="195" w:hanging="320"/>
              <w:jc w:val="center"/>
              <w:textAlignment w:val="auto"/>
              <w:rPr>
                <w:rFonts w:ascii="宋体" w:hAnsi="宋体" w:eastAsia="宋体" w:cs="宋体"/>
                <w:spacing w:val="-3"/>
                <w:sz w:val="21"/>
                <w:szCs w:val="21"/>
              </w:rPr>
            </w:pPr>
            <w:r>
              <w:rPr>
                <w:rFonts w:ascii="宋体" w:hAnsi="宋体" w:eastAsia="宋体" w:cs="宋体"/>
                <w:spacing w:val="-3"/>
                <w:sz w:val="21"/>
                <w:szCs w:val="21"/>
              </w:rPr>
              <w:t>磁吸布</w:t>
            </w:r>
          </w:p>
          <w:p>
            <w:pPr>
              <w:keepNext w:val="0"/>
              <w:keepLines w:val="0"/>
              <w:pageBreakBefore w:val="0"/>
              <w:widowControl w:val="0"/>
              <w:kinsoku/>
              <w:wordWrap/>
              <w:overflowPunct/>
              <w:topLinePunct w:val="0"/>
              <w:autoSpaceDE/>
              <w:autoSpaceDN/>
              <w:bidi w:val="0"/>
              <w:adjustRightInd/>
              <w:snapToGrid/>
              <w:spacing w:before="68" w:line="300" w:lineRule="exact"/>
              <w:ind w:left="492" w:right="195" w:hanging="320"/>
              <w:jc w:val="center"/>
              <w:textAlignment w:val="auto"/>
              <w:rPr>
                <w:rFonts w:ascii="宋体" w:hAnsi="宋体" w:eastAsia="宋体" w:cs="宋体"/>
                <w:sz w:val="21"/>
                <w:szCs w:val="21"/>
              </w:rPr>
            </w:pPr>
            <w:r>
              <w:rPr>
                <w:rFonts w:ascii="宋体" w:hAnsi="宋体" w:eastAsia="宋体" w:cs="宋体"/>
                <w:spacing w:val="-3"/>
                <w:sz w:val="21"/>
                <w:szCs w:val="21"/>
              </w:rPr>
              <w:t>控</w:t>
            </w:r>
            <w:r>
              <w:rPr>
                <w:rFonts w:ascii="宋体" w:hAnsi="宋体" w:eastAsia="宋体" w:cs="宋体"/>
                <w:spacing w:val="2"/>
                <w:sz w:val="21"/>
                <w:szCs w:val="21"/>
              </w:rPr>
              <w:t xml:space="preserve"> </w:t>
            </w:r>
            <w:r>
              <w:rPr>
                <w:rFonts w:ascii="宋体" w:hAnsi="宋体" w:eastAsia="宋体" w:cs="宋体"/>
                <w:sz w:val="21"/>
                <w:szCs w:val="21"/>
              </w:rPr>
              <w:t>球</w:t>
            </w:r>
          </w:p>
        </w:tc>
        <w:tc>
          <w:tcPr>
            <w:tcW w:w="679" w:type="dxa"/>
            <w:vAlign w:val="center"/>
          </w:tcPr>
          <w:p>
            <w:pPr>
              <w:keepNext w:val="0"/>
              <w:keepLines w:val="0"/>
              <w:pageBreakBefore w:val="0"/>
              <w:widowControl w:val="0"/>
              <w:kinsoku/>
              <w:wordWrap/>
              <w:overflowPunct/>
              <w:topLinePunct w:val="0"/>
              <w:autoSpaceDE/>
              <w:autoSpaceDN/>
              <w:bidi w:val="0"/>
              <w:adjustRightInd/>
              <w:snapToGrid/>
              <w:spacing w:before="68" w:line="300" w:lineRule="exact"/>
              <w:ind w:left="142"/>
              <w:jc w:val="center"/>
              <w:textAlignment w:val="auto"/>
              <w:rPr>
                <w:rFonts w:ascii="宋体" w:hAnsi="宋体" w:eastAsia="宋体" w:cs="宋体"/>
                <w:sz w:val="21"/>
                <w:szCs w:val="21"/>
              </w:rPr>
            </w:pPr>
            <w:r>
              <w:rPr>
                <w:rFonts w:ascii="宋体" w:hAnsi="宋体" w:eastAsia="宋体" w:cs="宋体"/>
                <w:spacing w:val="7"/>
                <w:sz w:val="21"/>
                <w:szCs w:val="21"/>
              </w:rPr>
              <w:t>1套</w:t>
            </w:r>
          </w:p>
        </w:tc>
        <w:tc>
          <w:tcPr>
            <w:tcW w:w="5650" w:type="dxa"/>
            <w:vAlign w:val="center"/>
          </w:tcPr>
          <w:p>
            <w:pPr>
              <w:keepNext w:val="0"/>
              <w:keepLines w:val="0"/>
              <w:pageBreakBefore w:val="0"/>
              <w:widowControl w:val="0"/>
              <w:kinsoku/>
              <w:wordWrap/>
              <w:overflowPunct/>
              <w:topLinePunct w:val="0"/>
              <w:autoSpaceDE/>
              <w:autoSpaceDN/>
              <w:bidi w:val="0"/>
              <w:adjustRightInd/>
              <w:snapToGrid/>
              <w:spacing w:before="82" w:line="300" w:lineRule="exact"/>
              <w:ind w:left="124"/>
              <w:jc w:val="left"/>
              <w:textAlignment w:val="auto"/>
              <w:rPr>
                <w:rFonts w:ascii="宋体" w:hAnsi="宋体" w:eastAsia="宋体" w:cs="宋体"/>
                <w:sz w:val="21"/>
                <w:szCs w:val="21"/>
              </w:rPr>
            </w:pPr>
            <w:r>
              <w:rPr>
                <w:rFonts w:ascii="宋体" w:hAnsi="宋体" w:eastAsia="宋体" w:cs="宋体"/>
                <w:spacing w:val="7"/>
                <w:sz w:val="21"/>
                <w:szCs w:val="21"/>
              </w:rPr>
              <w:t>5G双摄布控球，支持触摸屏，</w:t>
            </w:r>
          </w:p>
          <w:p>
            <w:pPr>
              <w:keepNext w:val="0"/>
              <w:keepLines w:val="0"/>
              <w:pageBreakBefore w:val="0"/>
              <w:widowControl w:val="0"/>
              <w:kinsoku/>
              <w:wordWrap/>
              <w:overflowPunct/>
              <w:topLinePunct w:val="0"/>
              <w:autoSpaceDE/>
              <w:autoSpaceDN/>
              <w:bidi w:val="0"/>
              <w:adjustRightInd/>
              <w:snapToGrid/>
              <w:spacing w:before="27" w:line="300" w:lineRule="exact"/>
              <w:ind w:left="114" w:right="48" w:firstLine="10"/>
              <w:jc w:val="left"/>
              <w:textAlignment w:val="auto"/>
              <w:rPr>
                <w:rFonts w:ascii="宋体" w:hAnsi="宋体" w:eastAsia="宋体" w:cs="宋体"/>
                <w:sz w:val="21"/>
                <w:szCs w:val="21"/>
              </w:rPr>
            </w:pPr>
            <w:r>
              <w:rPr>
                <w:rFonts w:ascii="宋体" w:hAnsi="宋体" w:eastAsia="宋体" w:cs="宋体"/>
                <w:spacing w:val="4"/>
                <w:sz w:val="21"/>
                <w:szCs w:val="21"/>
              </w:rPr>
              <w:t>≥400万机芯；传感器类型：1/1.8"</w:t>
            </w:r>
            <w:r>
              <w:rPr>
                <w:rFonts w:ascii="宋体" w:hAnsi="宋体" w:eastAsia="宋体" w:cs="宋体"/>
                <w:sz w:val="21"/>
                <w:szCs w:val="21"/>
              </w:rPr>
              <w:t>Progressive</w:t>
            </w:r>
            <w:r>
              <w:rPr>
                <w:rFonts w:ascii="宋体" w:hAnsi="宋体" w:eastAsia="宋体" w:cs="宋体"/>
                <w:spacing w:val="30"/>
                <w:sz w:val="21"/>
                <w:szCs w:val="21"/>
              </w:rPr>
              <w:t xml:space="preserve"> </w:t>
            </w:r>
            <w:r>
              <w:rPr>
                <w:rFonts w:ascii="宋体" w:hAnsi="宋体" w:eastAsia="宋体" w:cs="宋体"/>
                <w:sz w:val="21"/>
                <w:szCs w:val="21"/>
              </w:rPr>
              <w:t>Scan CMOS</w:t>
            </w:r>
            <w:r>
              <w:rPr>
                <w:rFonts w:ascii="宋体" w:hAnsi="宋体" w:eastAsia="宋体" w:cs="宋体"/>
                <w:spacing w:val="18"/>
                <w:sz w:val="21"/>
                <w:szCs w:val="21"/>
              </w:rPr>
              <w:t>;低照度彩色：0.0001</w:t>
            </w:r>
            <w:r>
              <w:rPr>
                <w:rFonts w:ascii="宋体" w:hAnsi="宋体" w:eastAsia="宋体" w:cs="宋体"/>
                <w:sz w:val="21"/>
                <w:szCs w:val="21"/>
              </w:rPr>
              <w:t>Lux</w:t>
            </w:r>
            <w:r>
              <w:rPr>
                <w:rFonts w:ascii="宋体" w:hAnsi="宋体" w:eastAsia="宋体" w:cs="宋体"/>
                <w:spacing w:val="52"/>
                <w:sz w:val="21"/>
                <w:szCs w:val="21"/>
              </w:rPr>
              <w:t xml:space="preserve"> </w:t>
            </w:r>
            <w:r>
              <w:rPr>
                <w:rFonts w:ascii="宋体" w:hAnsi="宋体" w:eastAsia="宋体" w:cs="宋体"/>
                <w:spacing w:val="18"/>
                <w:sz w:val="21"/>
                <w:szCs w:val="21"/>
              </w:rPr>
              <w:t>@(F1.6,</w:t>
            </w:r>
            <w:r>
              <w:rPr>
                <w:rFonts w:ascii="宋体" w:hAnsi="宋体" w:eastAsia="宋体" w:cs="宋体"/>
                <w:sz w:val="21"/>
                <w:szCs w:val="21"/>
              </w:rPr>
              <w:t>AGC</w:t>
            </w:r>
            <w:r>
              <w:rPr>
                <w:rFonts w:ascii="宋体" w:hAnsi="宋体" w:eastAsia="宋体" w:cs="宋体"/>
                <w:spacing w:val="35"/>
                <w:sz w:val="21"/>
                <w:szCs w:val="21"/>
              </w:rPr>
              <w:t xml:space="preserve"> </w:t>
            </w:r>
            <w:r>
              <w:rPr>
                <w:rFonts w:ascii="宋体" w:hAnsi="宋体" w:eastAsia="宋体" w:cs="宋体"/>
                <w:sz w:val="21"/>
                <w:szCs w:val="21"/>
              </w:rPr>
              <w:t>ON</w:t>
            </w:r>
            <w:r>
              <w:rPr>
                <w:rFonts w:ascii="宋体" w:hAnsi="宋体" w:eastAsia="宋体" w:cs="宋体"/>
                <w:spacing w:val="18"/>
                <w:sz w:val="21"/>
                <w:szCs w:val="21"/>
              </w:rPr>
              <w:t>);</w:t>
            </w:r>
            <w:r>
              <w:rPr>
                <w:rFonts w:ascii="宋体" w:hAnsi="宋体" w:eastAsia="宋体" w:cs="宋体"/>
                <w:sz w:val="21"/>
                <w:szCs w:val="21"/>
              </w:rPr>
              <w:t xml:space="preserve">  </w:t>
            </w:r>
            <w:r>
              <w:rPr>
                <w:rFonts w:ascii="宋体" w:hAnsi="宋体" w:eastAsia="宋体" w:cs="宋体"/>
                <w:spacing w:val="7"/>
                <w:sz w:val="21"/>
                <w:szCs w:val="21"/>
              </w:rPr>
              <w:t>低照度0.00005</w:t>
            </w:r>
            <w:r>
              <w:rPr>
                <w:rFonts w:ascii="宋体" w:hAnsi="宋体" w:eastAsia="宋体" w:cs="宋体"/>
                <w:sz w:val="21"/>
                <w:szCs w:val="21"/>
              </w:rPr>
              <w:t>Lux</w:t>
            </w:r>
            <w:r>
              <w:rPr>
                <w:rFonts w:ascii="宋体" w:hAnsi="宋体" w:eastAsia="宋体" w:cs="宋体"/>
                <w:spacing w:val="7"/>
                <w:sz w:val="21"/>
                <w:szCs w:val="21"/>
              </w:rPr>
              <w:t>@(F1.6,</w:t>
            </w:r>
            <w:r>
              <w:rPr>
                <w:rFonts w:ascii="宋体" w:hAnsi="宋体" w:eastAsia="宋体" w:cs="宋体"/>
                <w:sz w:val="21"/>
                <w:szCs w:val="21"/>
              </w:rPr>
              <w:t>AGC</w:t>
            </w:r>
            <w:r>
              <w:rPr>
                <w:rFonts w:ascii="宋体" w:hAnsi="宋体" w:eastAsia="宋体" w:cs="宋体"/>
                <w:spacing w:val="19"/>
                <w:sz w:val="21"/>
                <w:szCs w:val="21"/>
              </w:rPr>
              <w:t xml:space="preserve"> </w:t>
            </w:r>
            <w:r>
              <w:rPr>
                <w:rFonts w:ascii="宋体" w:hAnsi="宋体" w:eastAsia="宋体" w:cs="宋体"/>
                <w:sz w:val="21"/>
                <w:szCs w:val="21"/>
              </w:rPr>
              <w:t>ON</w:t>
            </w:r>
            <w:r>
              <w:rPr>
                <w:rFonts w:ascii="宋体" w:hAnsi="宋体" w:eastAsia="宋体" w:cs="宋体"/>
                <w:spacing w:val="7"/>
                <w:sz w:val="21"/>
                <w:szCs w:val="21"/>
              </w:rPr>
              <w:t>);焦距：6～216</w:t>
            </w:r>
            <w:r>
              <w:rPr>
                <w:rFonts w:ascii="宋体" w:hAnsi="宋体" w:eastAsia="宋体" w:cs="宋体"/>
                <w:sz w:val="21"/>
                <w:szCs w:val="21"/>
              </w:rPr>
              <w:t>mm</w:t>
            </w:r>
            <w:r>
              <w:rPr>
                <w:rFonts w:ascii="宋体" w:hAnsi="宋体" w:eastAsia="宋体" w:cs="宋体"/>
                <w:spacing w:val="6"/>
                <w:sz w:val="21"/>
                <w:szCs w:val="21"/>
              </w:rPr>
              <w:t>;</w:t>
            </w:r>
            <w:r>
              <w:rPr>
                <w:rFonts w:ascii="宋体" w:hAnsi="宋体" w:eastAsia="宋体" w:cs="宋体"/>
                <w:sz w:val="21"/>
                <w:szCs w:val="21"/>
              </w:rPr>
              <w:t xml:space="preserve"> </w:t>
            </w:r>
            <w:r>
              <w:rPr>
                <w:rFonts w:ascii="宋体" w:hAnsi="宋体" w:eastAsia="宋体" w:cs="宋体"/>
                <w:spacing w:val="5"/>
                <w:sz w:val="21"/>
                <w:szCs w:val="21"/>
              </w:rPr>
              <w:t>变倍：光学≥36倍，数字≥12倍；日夜转换模式</w:t>
            </w:r>
            <w:r>
              <w:rPr>
                <w:rFonts w:ascii="宋体" w:hAnsi="宋体" w:eastAsia="宋体" w:cs="宋体"/>
                <w:spacing w:val="4"/>
                <w:sz w:val="21"/>
                <w:szCs w:val="21"/>
              </w:rPr>
              <w:t>：</w:t>
            </w:r>
            <w:r>
              <w:rPr>
                <w:rFonts w:ascii="宋体" w:hAnsi="宋体" w:eastAsia="宋体" w:cs="宋体"/>
                <w:sz w:val="21"/>
                <w:szCs w:val="21"/>
              </w:rPr>
              <w:t xml:space="preserve">ICR </w:t>
            </w:r>
            <w:r>
              <w:rPr>
                <w:rFonts w:ascii="宋体" w:hAnsi="宋体" w:eastAsia="宋体" w:cs="宋体"/>
                <w:spacing w:val="3"/>
                <w:sz w:val="21"/>
                <w:szCs w:val="21"/>
              </w:rPr>
              <w:t>红外滤片式；红外补光距离：≥100m看清人体轮廓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58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sz w:val="21"/>
              </w:rPr>
            </w:pPr>
          </w:p>
        </w:tc>
        <w:tc>
          <w:tcPr>
            <w:tcW w:w="75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sz w:val="21"/>
              </w:rPr>
            </w:pPr>
          </w:p>
        </w:tc>
        <w:tc>
          <w:tcPr>
            <w:tcW w:w="1306" w:type="dxa"/>
            <w:vAlign w:val="center"/>
          </w:tcPr>
          <w:p>
            <w:pPr>
              <w:keepNext w:val="0"/>
              <w:keepLines w:val="0"/>
              <w:pageBreakBefore w:val="0"/>
              <w:widowControl w:val="0"/>
              <w:kinsoku/>
              <w:wordWrap/>
              <w:overflowPunct/>
              <w:topLinePunct w:val="0"/>
              <w:autoSpaceDE/>
              <w:autoSpaceDN/>
              <w:bidi w:val="0"/>
              <w:adjustRightInd/>
              <w:snapToGrid/>
              <w:spacing w:before="75" w:line="300" w:lineRule="exact"/>
              <w:ind w:left="492" w:right="196" w:hanging="320"/>
              <w:jc w:val="center"/>
              <w:textAlignment w:val="auto"/>
              <w:rPr>
                <w:rFonts w:ascii="宋体" w:hAnsi="宋体" w:eastAsia="宋体" w:cs="宋体"/>
                <w:spacing w:val="-3"/>
                <w:sz w:val="21"/>
                <w:szCs w:val="21"/>
              </w:rPr>
            </w:pPr>
            <w:r>
              <w:rPr>
                <w:rFonts w:ascii="宋体" w:hAnsi="宋体" w:eastAsia="宋体" w:cs="宋体"/>
                <w:spacing w:val="-3"/>
                <w:sz w:val="21"/>
                <w:szCs w:val="21"/>
              </w:rPr>
              <w:t>监控</w:t>
            </w:r>
          </w:p>
          <w:p>
            <w:pPr>
              <w:keepNext w:val="0"/>
              <w:keepLines w:val="0"/>
              <w:pageBreakBefore w:val="0"/>
              <w:widowControl w:val="0"/>
              <w:kinsoku/>
              <w:wordWrap/>
              <w:overflowPunct/>
              <w:topLinePunct w:val="0"/>
              <w:autoSpaceDE/>
              <w:autoSpaceDN/>
              <w:bidi w:val="0"/>
              <w:adjustRightInd/>
              <w:snapToGrid/>
              <w:spacing w:before="75" w:line="300" w:lineRule="exact"/>
              <w:ind w:left="492" w:right="196" w:hanging="320"/>
              <w:jc w:val="center"/>
              <w:textAlignment w:val="auto"/>
              <w:rPr>
                <w:rFonts w:ascii="宋体" w:hAnsi="宋体" w:eastAsia="宋体" w:cs="宋体"/>
                <w:sz w:val="21"/>
                <w:szCs w:val="21"/>
              </w:rPr>
            </w:pPr>
            <w:r>
              <w:rPr>
                <w:rFonts w:ascii="宋体" w:hAnsi="宋体" w:eastAsia="宋体" w:cs="宋体"/>
                <w:spacing w:val="-3"/>
                <w:sz w:val="21"/>
                <w:szCs w:val="21"/>
              </w:rPr>
              <w:t>显示</w:t>
            </w:r>
            <w:r>
              <w:rPr>
                <w:rFonts w:ascii="宋体" w:hAnsi="宋体" w:eastAsia="宋体" w:cs="宋体"/>
                <w:spacing w:val="1"/>
                <w:sz w:val="21"/>
                <w:szCs w:val="21"/>
              </w:rPr>
              <w:t xml:space="preserve"> </w:t>
            </w:r>
            <w:r>
              <w:rPr>
                <w:rFonts w:ascii="宋体" w:hAnsi="宋体" w:eastAsia="宋体" w:cs="宋体"/>
                <w:sz w:val="21"/>
                <w:szCs w:val="21"/>
              </w:rPr>
              <w:t>器</w:t>
            </w:r>
          </w:p>
        </w:tc>
        <w:tc>
          <w:tcPr>
            <w:tcW w:w="679" w:type="dxa"/>
            <w:vAlign w:val="center"/>
          </w:tcPr>
          <w:p>
            <w:pPr>
              <w:keepNext w:val="0"/>
              <w:keepLines w:val="0"/>
              <w:pageBreakBefore w:val="0"/>
              <w:widowControl w:val="0"/>
              <w:kinsoku/>
              <w:wordWrap/>
              <w:overflowPunct/>
              <w:topLinePunct w:val="0"/>
              <w:autoSpaceDE/>
              <w:autoSpaceDN/>
              <w:bidi w:val="0"/>
              <w:adjustRightInd/>
              <w:snapToGrid/>
              <w:spacing w:before="206" w:line="300" w:lineRule="exact"/>
              <w:ind w:left="142"/>
              <w:jc w:val="center"/>
              <w:textAlignment w:val="auto"/>
              <w:rPr>
                <w:rFonts w:ascii="宋体" w:hAnsi="宋体" w:eastAsia="宋体" w:cs="宋体"/>
                <w:sz w:val="21"/>
                <w:szCs w:val="21"/>
              </w:rPr>
            </w:pPr>
            <w:r>
              <w:rPr>
                <w:rFonts w:ascii="宋体" w:hAnsi="宋体" w:eastAsia="宋体" w:cs="宋体"/>
                <w:spacing w:val="7"/>
                <w:sz w:val="21"/>
                <w:szCs w:val="21"/>
              </w:rPr>
              <w:t>1套</w:t>
            </w:r>
          </w:p>
        </w:tc>
        <w:tc>
          <w:tcPr>
            <w:tcW w:w="5650" w:type="dxa"/>
            <w:vAlign w:val="center"/>
          </w:tcPr>
          <w:p>
            <w:pPr>
              <w:keepNext w:val="0"/>
              <w:keepLines w:val="0"/>
              <w:pageBreakBefore w:val="0"/>
              <w:widowControl w:val="0"/>
              <w:kinsoku/>
              <w:wordWrap/>
              <w:overflowPunct/>
              <w:topLinePunct w:val="0"/>
              <w:autoSpaceDE/>
              <w:autoSpaceDN/>
              <w:bidi w:val="0"/>
              <w:adjustRightInd/>
              <w:snapToGrid/>
              <w:spacing w:before="54" w:line="300" w:lineRule="exact"/>
              <w:ind w:left="124" w:right="164"/>
              <w:jc w:val="left"/>
              <w:textAlignment w:val="auto"/>
              <w:rPr>
                <w:rFonts w:ascii="宋体" w:hAnsi="宋体" w:eastAsia="宋体" w:cs="宋体"/>
                <w:sz w:val="21"/>
                <w:szCs w:val="21"/>
              </w:rPr>
            </w:pPr>
            <w:r>
              <w:rPr>
                <w:rFonts w:ascii="宋体" w:hAnsi="宋体" w:eastAsia="宋体" w:cs="宋体"/>
                <w:sz w:val="21"/>
                <w:szCs w:val="21"/>
              </w:rPr>
              <w:t>wifi</w:t>
            </w:r>
            <w:r>
              <w:rPr>
                <w:rFonts w:ascii="宋体" w:hAnsi="宋体" w:eastAsia="宋体" w:cs="宋体"/>
                <w:spacing w:val="4"/>
                <w:sz w:val="21"/>
                <w:szCs w:val="21"/>
              </w:rPr>
              <w:t>版，屏幕尺寸≥10英寸平板，作为监控显示器使</w:t>
            </w:r>
            <w:r>
              <w:rPr>
                <w:rFonts w:ascii="宋体" w:hAnsi="宋体" w:eastAsia="宋体" w:cs="宋体"/>
                <w:spacing w:val="11"/>
                <w:sz w:val="21"/>
                <w:szCs w:val="21"/>
              </w:rPr>
              <w:t xml:space="preserve"> </w:t>
            </w:r>
            <w:r>
              <w:rPr>
                <w:rFonts w:ascii="宋体" w:hAnsi="宋体" w:eastAsia="宋体" w:cs="宋体"/>
                <w:sz w:val="21"/>
                <w:szCs w:val="21"/>
              </w:rPr>
              <w:t>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58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68" w:line="300" w:lineRule="exact"/>
              <w:ind w:left="64"/>
              <w:jc w:val="center"/>
              <w:textAlignment w:val="auto"/>
              <w:rPr>
                <w:rFonts w:ascii="宋体" w:hAnsi="宋体" w:eastAsia="宋体" w:cs="宋体"/>
                <w:sz w:val="21"/>
                <w:szCs w:val="21"/>
              </w:rPr>
            </w:pPr>
            <w:r>
              <w:rPr>
                <w:rFonts w:ascii="宋体" w:hAnsi="宋体" w:eastAsia="宋体" w:cs="宋体"/>
                <w:spacing w:val="-4"/>
                <w:sz w:val="21"/>
                <w:szCs w:val="21"/>
              </w:rPr>
              <w:t>5.</w:t>
            </w:r>
          </w:p>
        </w:tc>
        <w:tc>
          <w:tcPr>
            <w:tcW w:w="75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31" w:right="118"/>
              <w:jc w:val="center"/>
              <w:textAlignment w:val="auto"/>
              <w:rPr>
                <w:rFonts w:ascii="宋体" w:hAnsi="宋体" w:eastAsia="宋体" w:cs="宋体"/>
                <w:sz w:val="21"/>
                <w:szCs w:val="21"/>
              </w:rPr>
            </w:pPr>
            <w:r>
              <w:rPr>
                <w:rFonts w:ascii="宋体" w:hAnsi="宋体" w:eastAsia="宋体" w:cs="宋体"/>
                <w:spacing w:val="-5"/>
                <w:sz w:val="21"/>
                <w:szCs w:val="21"/>
              </w:rPr>
              <w:t>供配</w:t>
            </w:r>
            <w:r>
              <w:rPr>
                <w:rFonts w:ascii="宋体" w:hAnsi="宋体" w:eastAsia="宋体" w:cs="宋体"/>
                <w:sz w:val="21"/>
                <w:szCs w:val="21"/>
              </w:rPr>
              <w:t xml:space="preserve"> </w:t>
            </w:r>
            <w:r>
              <w:rPr>
                <w:rFonts w:ascii="宋体" w:hAnsi="宋体" w:eastAsia="宋体" w:cs="宋体"/>
                <w:spacing w:val="9"/>
                <w:sz w:val="21"/>
                <w:szCs w:val="21"/>
              </w:rPr>
              <w:t>电系</w:t>
            </w:r>
            <w:r>
              <w:rPr>
                <w:rFonts w:ascii="宋体" w:hAnsi="宋体" w:eastAsia="宋体" w:cs="宋体"/>
                <w:sz w:val="21"/>
                <w:szCs w:val="21"/>
              </w:rPr>
              <w:t xml:space="preserve"> </w:t>
            </w:r>
            <w:r>
              <w:rPr>
                <w:rFonts w:ascii="宋体" w:hAnsi="宋体" w:eastAsia="宋体" w:cs="宋体"/>
                <w:spacing w:val="34"/>
                <w:w w:val="125"/>
                <w:sz w:val="21"/>
                <w:szCs w:val="21"/>
              </w:rPr>
              <w:t>统</w:t>
            </w:r>
          </w:p>
        </w:tc>
        <w:tc>
          <w:tcPr>
            <w:tcW w:w="1306" w:type="dxa"/>
            <w:vAlign w:val="center"/>
          </w:tcPr>
          <w:p>
            <w:pPr>
              <w:keepNext w:val="0"/>
              <w:keepLines w:val="0"/>
              <w:pageBreakBefore w:val="0"/>
              <w:widowControl w:val="0"/>
              <w:kinsoku/>
              <w:wordWrap/>
              <w:overflowPunct/>
              <w:topLinePunct w:val="0"/>
              <w:autoSpaceDE/>
              <w:autoSpaceDN/>
              <w:bidi w:val="0"/>
              <w:adjustRightInd/>
              <w:snapToGrid/>
              <w:spacing w:before="216" w:line="300" w:lineRule="exact"/>
              <w:ind w:left="172"/>
              <w:jc w:val="center"/>
              <w:textAlignment w:val="auto"/>
              <w:rPr>
                <w:rFonts w:ascii="宋体" w:hAnsi="宋体" w:eastAsia="宋体" w:cs="宋体"/>
                <w:sz w:val="21"/>
                <w:szCs w:val="21"/>
              </w:rPr>
            </w:pPr>
            <w:r>
              <w:rPr>
                <w:rFonts w:ascii="宋体" w:hAnsi="宋体" w:eastAsia="宋体" w:cs="宋体"/>
                <w:spacing w:val="-2"/>
                <w:sz w:val="21"/>
                <w:szCs w:val="21"/>
              </w:rPr>
              <w:t>整车线束</w:t>
            </w:r>
          </w:p>
        </w:tc>
        <w:tc>
          <w:tcPr>
            <w:tcW w:w="679" w:type="dxa"/>
            <w:vAlign w:val="center"/>
          </w:tcPr>
          <w:p>
            <w:pPr>
              <w:keepNext w:val="0"/>
              <w:keepLines w:val="0"/>
              <w:pageBreakBefore w:val="0"/>
              <w:widowControl w:val="0"/>
              <w:kinsoku/>
              <w:wordWrap/>
              <w:overflowPunct/>
              <w:topLinePunct w:val="0"/>
              <w:autoSpaceDE/>
              <w:autoSpaceDN/>
              <w:bidi w:val="0"/>
              <w:adjustRightInd/>
              <w:snapToGrid/>
              <w:spacing w:before="217" w:line="300" w:lineRule="exact"/>
              <w:ind w:left="142"/>
              <w:jc w:val="center"/>
              <w:textAlignment w:val="auto"/>
              <w:rPr>
                <w:rFonts w:ascii="宋体" w:hAnsi="宋体" w:eastAsia="宋体" w:cs="宋体"/>
                <w:sz w:val="21"/>
                <w:szCs w:val="21"/>
              </w:rPr>
            </w:pPr>
            <w:r>
              <w:rPr>
                <w:rFonts w:ascii="宋体" w:hAnsi="宋体" w:eastAsia="宋体" w:cs="宋体"/>
                <w:spacing w:val="7"/>
                <w:sz w:val="21"/>
                <w:szCs w:val="21"/>
              </w:rPr>
              <w:t>1套</w:t>
            </w:r>
          </w:p>
        </w:tc>
        <w:tc>
          <w:tcPr>
            <w:tcW w:w="5650" w:type="dxa"/>
            <w:vAlign w:val="center"/>
          </w:tcPr>
          <w:p>
            <w:pPr>
              <w:keepNext w:val="0"/>
              <w:keepLines w:val="0"/>
              <w:pageBreakBefore w:val="0"/>
              <w:widowControl w:val="0"/>
              <w:kinsoku/>
              <w:wordWrap/>
              <w:overflowPunct/>
              <w:topLinePunct w:val="0"/>
              <w:autoSpaceDE/>
              <w:autoSpaceDN/>
              <w:bidi w:val="0"/>
              <w:adjustRightInd/>
              <w:snapToGrid/>
              <w:spacing w:before="63" w:line="300" w:lineRule="exact"/>
              <w:ind w:left="124" w:right="664"/>
              <w:jc w:val="left"/>
              <w:textAlignment w:val="auto"/>
              <w:rPr>
                <w:rFonts w:ascii="宋体" w:hAnsi="宋体" w:eastAsia="宋体" w:cs="宋体"/>
                <w:sz w:val="21"/>
                <w:szCs w:val="21"/>
              </w:rPr>
            </w:pPr>
            <w:r>
              <w:rPr>
                <w:rFonts w:ascii="宋体" w:hAnsi="宋体" w:eastAsia="宋体" w:cs="宋体"/>
                <w:spacing w:val="6"/>
                <w:sz w:val="21"/>
                <w:szCs w:val="21"/>
              </w:rPr>
              <w:t>高低压及信号线分离，国标：</w:t>
            </w:r>
            <w:r>
              <w:rPr>
                <w:rFonts w:ascii="宋体" w:hAnsi="宋体" w:eastAsia="宋体" w:cs="宋体"/>
                <w:sz w:val="21"/>
                <w:szCs w:val="21"/>
              </w:rPr>
              <w:t>JB</w:t>
            </w:r>
            <w:r>
              <w:rPr>
                <w:rFonts w:ascii="宋体" w:hAnsi="宋体" w:eastAsia="宋体" w:cs="宋体"/>
                <w:spacing w:val="6"/>
                <w:sz w:val="21"/>
                <w:szCs w:val="21"/>
              </w:rPr>
              <w:t>/T8139</w:t>
            </w:r>
            <w:r>
              <w:rPr>
                <w:rFonts w:ascii="宋体" w:hAnsi="宋体" w:eastAsia="宋体" w:cs="宋体"/>
                <w:sz w:val="21"/>
                <w:szCs w:val="21"/>
              </w:rPr>
              <w:t>QVR</w:t>
            </w:r>
            <w:r>
              <w:rPr>
                <w:rFonts w:ascii="宋体" w:hAnsi="宋体" w:eastAsia="宋体" w:cs="宋体"/>
                <w:spacing w:val="6"/>
                <w:sz w:val="21"/>
                <w:szCs w:val="21"/>
              </w:rPr>
              <w:t>线</w:t>
            </w:r>
            <w:r>
              <w:rPr>
                <w:rFonts w:ascii="宋体" w:hAnsi="宋体" w:eastAsia="宋体" w:cs="宋体"/>
                <w:spacing w:val="5"/>
                <w:sz w:val="21"/>
                <w:szCs w:val="21"/>
              </w:rPr>
              <w:t>径</w:t>
            </w:r>
            <w:r>
              <w:rPr>
                <w:rFonts w:ascii="宋体" w:hAnsi="宋体" w:eastAsia="宋体" w:cs="宋体"/>
                <w:sz w:val="21"/>
                <w:szCs w:val="21"/>
              </w:rPr>
              <w:t xml:space="preserve"> </w:t>
            </w:r>
            <w:r>
              <w:rPr>
                <w:rFonts w:ascii="宋体" w:hAnsi="宋体" w:eastAsia="宋体" w:cs="宋体"/>
                <w:spacing w:val="-2"/>
                <w:sz w:val="21"/>
                <w:szCs w:val="21"/>
              </w:rPr>
              <w:t>1.5mm2/2.5mm2/4mm2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587" w:type="dxa"/>
            <w:vMerge w:val="continue"/>
            <w:tcBorders>
              <w:top w:val="nil"/>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sz w:val="21"/>
              </w:rPr>
            </w:pPr>
          </w:p>
        </w:tc>
        <w:tc>
          <w:tcPr>
            <w:tcW w:w="755" w:type="dxa"/>
            <w:vMerge w:val="continue"/>
            <w:tcBorders>
              <w:top w:val="nil"/>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sz w:val="21"/>
              </w:rPr>
            </w:pPr>
          </w:p>
        </w:tc>
        <w:tc>
          <w:tcPr>
            <w:tcW w:w="130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56" w:line="300" w:lineRule="exact"/>
              <w:ind w:left="282"/>
              <w:jc w:val="center"/>
              <w:textAlignment w:val="auto"/>
              <w:rPr>
                <w:rFonts w:ascii="宋体" w:hAnsi="宋体" w:eastAsia="宋体" w:cs="宋体"/>
                <w:sz w:val="21"/>
                <w:szCs w:val="21"/>
              </w:rPr>
            </w:pPr>
            <w:r>
              <w:rPr>
                <w:rFonts w:ascii="宋体" w:hAnsi="宋体" w:eastAsia="宋体" w:cs="宋体"/>
                <w:spacing w:val="-3"/>
                <w:sz w:val="21"/>
                <w:szCs w:val="21"/>
              </w:rPr>
              <w:t>发电机</w:t>
            </w:r>
          </w:p>
        </w:tc>
        <w:tc>
          <w:tcPr>
            <w:tcW w:w="67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59" w:line="300" w:lineRule="exact"/>
              <w:ind w:left="142"/>
              <w:jc w:val="center"/>
              <w:textAlignment w:val="auto"/>
              <w:rPr>
                <w:rFonts w:ascii="宋体" w:hAnsi="宋体" w:eastAsia="宋体" w:cs="宋体"/>
                <w:sz w:val="21"/>
                <w:szCs w:val="21"/>
              </w:rPr>
            </w:pPr>
            <w:r>
              <w:rPr>
                <w:rFonts w:ascii="宋体" w:hAnsi="宋体" w:eastAsia="宋体" w:cs="宋体"/>
                <w:spacing w:val="-12"/>
                <w:sz w:val="21"/>
                <w:szCs w:val="21"/>
              </w:rPr>
              <w:t>1</w:t>
            </w:r>
            <w:r>
              <w:rPr>
                <w:rFonts w:ascii="宋体" w:hAnsi="宋体" w:eastAsia="宋体" w:cs="宋体"/>
                <w:spacing w:val="-29"/>
                <w:sz w:val="21"/>
                <w:szCs w:val="21"/>
              </w:rPr>
              <w:t xml:space="preserve"> </w:t>
            </w:r>
            <w:r>
              <w:rPr>
                <w:rFonts w:ascii="宋体" w:hAnsi="宋体" w:eastAsia="宋体" w:cs="宋体"/>
                <w:spacing w:val="-12"/>
                <w:sz w:val="21"/>
                <w:szCs w:val="21"/>
              </w:rPr>
              <w:t>台</w:t>
            </w:r>
          </w:p>
        </w:tc>
        <w:tc>
          <w:tcPr>
            <w:tcW w:w="565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56" w:line="300" w:lineRule="exact"/>
              <w:ind w:left="124"/>
              <w:jc w:val="left"/>
              <w:textAlignment w:val="auto"/>
              <w:rPr>
                <w:rFonts w:ascii="宋体" w:hAnsi="宋体" w:eastAsia="宋体" w:cs="宋体"/>
                <w:sz w:val="21"/>
                <w:szCs w:val="21"/>
              </w:rPr>
            </w:pPr>
            <w:r>
              <w:rPr>
                <w:rFonts w:ascii="宋体" w:hAnsi="宋体" w:eastAsia="宋体" w:cs="宋体"/>
                <w:spacing w:val="7"/>
                <w:sz w:val="21"/>
                <w:szCs w:val="21"/>
              </w:rPr>
              <w:t>≥3</w:t>
            </w:r>
            <w:r>
              <w:rPr>
                <w:rFonts w:ascii="宋体" w:hAnsi="宋体" w:eastAsia="宋体" w:cs="宋体"/>
                <w:sz w:val="21"/>
                <w:szCs w:val="21"/>
              </w:rPr>
              <w:t>KW</w:t>
            </w:r>
            <w:r>
              <w:rPr>
                <w:rFonts w:ascii="宋体" w:hAnsi="宋体" w:eastAsia="宋体" w:cs="宋体"/>
                <w:spacing w:val="7"/>
                <w:sz w:val="21"/>
                <w:szCs w:val="21"/>
              </w:rPr>
              <w:t>便携式发电机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58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68" w:line="300" w:lineRule="exact"/>
              <w:ind w:left="64" w:leftChars="0"/>
              <w:jc w:val="center"/>
              <w:textAlignment w:val="auto"/>
              <w:rPr>
                <w:rFonts w:ascii="宋体" w:hAnsi="宋体" w:eastAsia="宋体" w:cs="宋体"/>
                <w:kern w:val="2"/>
                <w:sz w:val="21"/>
                <w:szCs w:val="21"/>
                <w:lang w:val="en-US" w:eastAsia="zh-CN" w:bidi="ar-SA"/>
              </w:rPr>
            </w:pPr>
            <w:r>
              <w:rPr>
                <w:rFonts w:ascii="宋体" w:hAnsi="宋体" w:eastAsia="宋体" w:cs="宋体"/>
                <w:spacing w:val="-3"/>
                <w:sz w:val="21"/>
                <w:szCs w:val="21"/>
              </w:rPr>
              <w:t>6.</w:t>
            </w:r>
          </w:p>
        </w:tc>
        <w:tc>
          <w:tcPr>
            <w:tcW w:w="75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68" w:line="300" w:lineRule="exact"/>
              <w:ind w:left="131" w:leftChars="0" w:right="119" w:rightChars="0"/>
              <w:jc w:val="center"/>
              <w:textAlignment w:val="auto"/>
              <w:rPr>
                <w:rFonts w:ascii="宋体" w:hAnsi="宋体" w:eastAsia="宋体" w:cs="宋体"/>
                <w:kern w:val="2"/>
                <w:sz w:val="21"/>
                <w:szCs w:val="21"/>
                <w:lang w:val="en-US" w:eastAsia="zh-CN" w:bidi="ar-SA"/>
              </w:rPr>
            </w:pPr>
            <w:r>
              <w:rPr>
                <w:rFonts w:ascii="宋体" w:hAnsi="宋体" w:eastAsia="宋体" w:cs="宋体"/>
                <w:spacing w:val="8"/>
                <w:sz w:val="21"/>
                <w:szCs w:val="21"/>
              </w:rPr>
              <w:t>改制</w:t>
            </w:r>
            <w:r>
              <w:rPr>
                <w:rFonts w:ascii="宋体" w:hAnsi="宋体" w:eastAsia="宋体" w:cs="宋体"/>
                <w:sz w:val="21"/>
                <w:szCs w:val="21"/>
              </w:rPr>
              <w:t xml:space="preserve"> </w:t>
            </w:r>
            <w:r>
              <w:rPr>
                <w:rFonts w:ascii="宋体" w:hAnsi="宋体" w:eastAsia="宋体" w:cs="宋体"/>
                <w:spacing w:val="-3"/>
                <w:sz w:val="21"/>
                <w:szCs w:val="21"/>
              </w:rPr>
              <w:t>部分</w:t>
            </w:r>
          </w:p>
        </w:tc>
        <w:tc>
          <w:tcPr>
            <w:tcW w:w="1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68" w:line="300" w:lineRule="exact"/>
              <w:ind w:left="282" w:leftChars="0"/>
              <w:jc w:val="center"/>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装备架</w:t>
            </w:r>
          </w:p>
        </w:tc>
        <w:tc>
          <w:tcPr>
            <w:tcW w:w="6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68" w:line="300" w:lineRule="exact"/>
              <w:ind w:left="142" w:leftChars="0"/>
              <w:jc w:val="center"/>
              <w:textAlignment w:val="auto"/>
              <w:rPr>
                <w:rFonts w:ascii="宋体" w:hAnsi="宋体" w:eastAsia="宋体" w:cs="宋体"/>
                <w:kern w:val="2"/>
                <w:sz w:val="21"/>
                <w:szCs w:val="21"/>
                <w:lang w:val="en-US" w:eastAsia="zh-CN" w:bidi="ar-SA"/>
              </w:rPr>
            </w:pPr>
            <w:r>
              <w:rPr>
                <w:rFonts w:ascii="宋体" w:hAnsi="宋体" w:eastAsia="宋体" w:cs="宋体"/>
                <w:spacing w:val="7"/>
                <w:sz w:val="21"/>
                <w:szCs w:val="21"/>
              </w:rPr>
              <w:t>1套</w:t>
            </w:r>
          </w:p>
        </w:tc>
        <w:tc>
          <w:tcPr>
            <w:tcW w:w="5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67" w:line="300" w:lineRule="exact"/>
              <w:ind w:left="124" w:leftChars="0" w:right="44" w:rightChars="0"/>
              <w:jc w:val="left"/>
              <w:textAlignment w:val="auto"/>
              <w:rPr>
                <w:rFonts w:ascii="宋体" w:hAnsi="宋体" w:eastAsia="宋体" w:cs="宋体"/>
                <w:kern w:val="2"/>
                <w:sz w:val="21"/>
                <w:szCs w:val="21"/>
                <w:lang w:val="en-US" w:eastAsia="zh-CN" w:bidi="ar-SA"/>
              </w:rPr>
            </w:pPr>
            <w:r>
              <w:rPr>
                <w:rFonts w:ascii="宋体" w:hAnsi="宋体" w:eastAsia="宋体" w:cs="宋体"/>
                <w:sz w:val="21"/>
                <w:szCs w:val="21"/>
              </w:rPr>
              <w:t>定制铝合金装备架，内部铺设植绒布，防滑、耐磨。各</w:t>
            </w:r>
            <w:r>
              <w:rPr>
                <w:rFonts w:ascii="宋体" w:hAnsi="宋体" w:eastAsia="宋体" w:cs="宋体"/>
                <w:spacing w:val="8"/>
                <w:sz w:val="21"/>
                <w:szCs w:val="21"/>
              </w:rPr>
              <w:t xml:space="preserve"> </w:t>
            </w:r>
            <w:r>
              <w:rPr>
                <w:rFonts w:ascii="宋体" w:hAnsi="宋体" w:eastAsia="宋体" w:cs="宋体"/>
                <w:spacing w:val="6"/>
                <w:sz w:val="21"/>
                <w:szCs w:val="21"/>
              </w:rPr>
              <w:t>个空间均设有约束带用于约束设备。设备柜可储存</w:t>
            </w:r>
            <w:r>
              <w:rPr>
                <w:rFonts w:ascii="宋体" w:hAnsi="宋体" w:eastAsia="宋体" w:cs="宋体"/>
                <w:spacing w:val="5"/>
                <w:sz w:val="21"/>
                <w:szCs w:val="21"/>
              </w:rPr>
              <w:t>法</w:t>
            </w:r>
            <w:r>
              <w:rPr>
                <w:rFonts w:ascii="宋体" w:hAnsi="宋体" w:eastAsia="宋体" w:cs="宋体"/>
                <w:sz w:val="21"/>
                <w:szCs w:val="21"/>
              </w:rPr>
              <w:t xml:space="preserve"> 医勘察箱、防爆箱、法医检材冷藏箱、现场防护警戒等</w:t>
            </w:r>
            <w:r>
              <w:rPr>
                <w:rFonts w:ascii="宋体" w:hAnsi="宋体" w:eastAsia="宋体" w:cs="宋体"/>
                <w:spacing w:val="8"/>
                <w:sz w:val="21"/>
                <w:szCs w:val="21"/>
              </w:rPr>
              <w:t xml:space="preserve"> </w:t>
            </w:r>
            <w:r>
              <w:rPr>
                <w:rFonts w:ascii="宋体" w:hAnsi="宋体" w:eastAsia="宋体" w:cs="宋体"/>
                <w:spacing w:val="-8"/>
                <w:sz w:val="21"/>
                <w:szCs w:val="21"/>
              </w:rPr>
              <w:t>设</w:t>
            </w:r>
            <w:r>
              <w:rPr>
                <w:rFonts w:ascii="宋体" w:hAnsi="宋体" w:eastAsia="宋体" w:cs="宋体"/>
                <w:spacing w:val="-21"/>
                <w:sz w:val="21"/>
                <w:szCs w:val="21"/>
              </w:rPr>
              <w:t xml:space="preserve"> </w:t>
            </w:r>
            <w:r>
              <w:rPr>
                <w:rFonts w:ascii="宋体" w:hAnsi="宋体" w:eastAsia="宋体" w:cs="宋体"/>
                <w:spacing w:val="-8"/>
                <w:sz w:val="21"/>
                <w:szCs w:val="21"/>
              </w:rPr>
              <w:t>备</w:t>
            </w:r>
            <w:r>
              <w:rPr>
                <w:rFonts w:ascii="宋体" w:hAnsi="宋体" w:eastAsia="宋体" w:cs="宋体"/>
                <w:spacing w:val="-31"/>
                <w:sz w:val="21"/>
                <w:szCs w:val="21"/>
              </w:rPr>
              <w:t xml:space="preserve"> </w:t>
            </w:r>
            <w:r>
              <w:rPr>
                <w:rFonts w:ascii="宋体" w:hAnsi="宋体" w:eastAsia="宋体" w:cs="宋体"/>
                <w:spacing w:val="-8"/>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58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sz w:val="21"/>
              </w:rPr>
            </w:pPr>
          </w:p>
        </w:tc>
        <w:tc>
          <w:tcPr>
            <w:tcW w:w="75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sz w:val="21"/>
              </w:rPr>
            </w:pPr>
          </w:p>
        </w:tc>
        <w:tc>
          <w:tcPr>
            <w:tcW w:w="1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59" w:line="300" w:lineRule="exact"/>
              <w:ind w:left="172" w:leftChars="0"/>
              <w:jc w:val="center"/>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抽拉滑轨</w:t>
            </w:r>
          </w:p>
        </w:tc>
        <w:tc>
          <w:tcPr>
            <w:tcW w:w="6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79" w:line="300" w:lineRule="exact"/>
              <w:ind w:left="142" w:leftChars="0"/>
              <w:jc w:val="center"/>
              <w:textAlignment w:val="auto"/>
              <w:rPr>
                <w:rFonts w:ascii="宋体" w:hAnsi="宋体" w:eastAsia="宋体" w:cs="宋体"/>
                <w:kern w:val="2"/>
                <w:sz w:val="21"/>
                <w:szCs w:val="21"/>
                <w:lang w:val="en-US" w:eastAsia="zh-CN" w:bidi="ar-SA"/>
              </w:rPr>
            </w:pPr>
            <w:r>
              <w:rPr>
                <w:rFonts w:ascii="宋体" w:hAnsi="宋体" w:eastAsia="宋体" w:cs="宋体"/>
                <w:spacing w:val="7"/>
                <w:sz w:val="21"/>
                <w:szCs w:val="21"/>
              </w:rPr>
              <w:t>1套</w:t>
            </w:r>
          </w:p>
        </w:tc>
        <w:tc>
          <w:tcPr>
            <w:tcW w:w="5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58" w:line="300" w:lineRule="exact"/>
              <w:ind w:left="124" w:leftChars="0"/>
              <w:jc w:val="left"/>
              <w:textAlignment w:val="auto"/>
              <w:rPr>
                <w:rFonts w:ascii="宋体" w:hAnsi="宋体" w:eastAsia="宋体" w:cs="宋体"/>
                <w:kern w:val="2"/>
                <w:sz w:val="21"/>
                <w:szCs w:val="21"/>
                <w:lang w:val="en-US" w:eastAsia="zh-CN" w:bidi="ar-SA"/>
              </w:rPr>
            </w:pPr>
            <w:r>
              <w:rPr>
                <w:rFonts w:ascii="宋体" w:hAnsi="宋体" w:eastAsia="宋体" w:cs="宋体"/>
                <w:spacing w:val="1"/>
                <w:sz w:val="21"/>
                <w:szCs w:val="21"/>
              </w:rPr>
              <w:t>定制装备架抽拉滑道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58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sz w:val="21"/>
              </w:rPr>
            </w:pPr>
          </w:p>
        </w:tc>
        <w:tc>
          <w:tcPr>
            <w:tcW w:w="75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sz w:val="21"/>
              </w:rPr>
            </w:pPr>
          </w:p>
        </w:tc>
        <w:tc>
          <w:tcPr>
            <w:tcW w:w="1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67" w:line="300" w:lineRule="exact"/>
              <w:ind w:left="172" w:leftChars="0"/>
              <w:jc w:val="center"/>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后厢地板</w:t>
            </w:r>
          </w:p>
        </w:tc>
        <w:tc>
          <w:tcPr>
            <w:tcW w:w="6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70" w:line="300" w:lineRule="exact"/>
              <w:ind w:left="142" w:leftChars="0"/>
              <w:jc w:val="center"/>
              <w:textAlignment w:val="auto"/>
              <w:rPr>
                <w:rFonts w:ascii="宋体" w:hAnsi="宋体" w:eastAsia="宋体" w:cs="宋体"/>
                <w:kern w:val="2"/>
                <w:sz w:val="21"/>
                <w:szCs w:val="21"/>
                <w:lang w:val="en-US" w:eastAsia="zh-CN" w:bidi="ar-SA"/>
              </w:rPr>
            </w:pPr>
            <w:r>
              <w:rPr>
                <w:rFonts w:ascii="宋体" w:hAnsi="宋体" w:eastAsia="宋体" w:cs="宋体"/>
                <w:spacing w:val="7"/>
                <w:sz w:val="21"/>
                <w:szCs w:val="21"/>
              </w:rPr>
              <w:t>1张</w:t>
            </w:r>
          </w:p>
        </w:tc>
        <w:tc>
          <w:tcPr>
            <w:tcW w:w="5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67" w:line="300" w:lineRule="exact"/>
              <w:ind w:left="124" w:leftChars="0"/>
              <w:jc w:val="left"/>
              <w:textAlignment w:val="auto"/>
              <w:rPr>
                <w:rFonts w:ascii="宋体" w:hAnsi="宋体" w:eastAsia="宋体" w:cs="宋体"/>
                <w:kern w:val="2"/>
                <w:sz w:val="21"/>
                <w:szCs w:val="21"/>
                <w:lang w:val="en-US" w:eastAsia="zh-CN" w:bidi="ar-SA"/>
              </w:rPr>
            </w:pPr>
            <w:r>
              <w:rPr>
                <w:rFonts w:ascii="宋体" w:hAnsi="宋体" w:eastAsia="宋体" w:cs="宋体"/>
                <w:spacing w:val="1"/>
                <w:sz w:val="21"/>
                <w:szCs w:val="21"/>
              </w:rPr>
              <w:t>定制花纹铝板铺设在后车厢地板上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58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sz w:val="21"/>
              </w:rPr>
            </w:pPr>
          </w:p>
        </w:tc>
        <w:tc>
          <w:tcPr>
            <w:tcW w:w="75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sz w:val="21"/>
              </w:rPr>
            </w:pPr>
          </w:p>
        </w:tc>
        <w:tc>
          <w:tcPr>
            <w:tcW w:w="1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58" w:line="300" w:lineRule="exact"/>
              <w:ind w:left="72" w:leftChars="0"/>
              <w:jc w:val="center"/>
              <w:textAlignment w:val="auto"/>
              <w:rPr>
                <w:rFonts w:ascii="宋体" w:hAnsi="宋体" w:eastAsia="宋体" w:cs="宋体"/>
                <w:spacing w:val="-2"/>
                <w:sz w:val="21"/>
                <w:szCs w:val="21"/>
              </w:rPr>
            </w:pPr>
            <w:r>
              <w:rPr>
                <w:rFonts w:ascii="宋体" w:hAnsi="宋体" w:eastAsia="宋体" w:cs="宋体"/>
                <w:spacing w:val="-2"/>
                <w:sz w:val="21"/>
                <w:szCs w:val="21"/>
              </w:rPr>
              <w:t>车身、车体</w:t>
            </w:r>
          </w:p>
          <w:p>
            <w:pPr>
              <w:keepNext w:val="0"/>
              <w:keepLines w:val="0"/>
              <w:pageBreakBefore w:val="0"/>
              <w:widowControl w:val="0"/>
              <w:kinsoku/>
              <w:wordWrap/>
              <w:overflowPunct/>
              <w:topLinePunct w:val="0"/>
              <w:autoSpaceDE/>
              <w:autoSpaceDN/>
              <w:bidi w:val="0"/>
              <w:adjustRightInd/>
              <w:snapToGrid/>
              <w:spacing w:before="58" w:line="300" w:lineRule="exact"/>
              <w:ind w:left="72" w:leftChars="0"/>
              <w:jc w:val="center"/>
              <w:textAlignment w:val="auto"/>
              <w:rPr>
                <w:rFonts w:ascii="宋体" w:hAnsi="宋体" w:eastAsia="宋体" w:cs="宋体"/>
                <w:spacing w:val="-2"/>
                <w:sz w:val="21"/>
                <w:szCs w:val="21"/>
                <w:lang w:val="en-US" w:eastAsia="zh-CN"/>
              </w:rPr>
            </w:pPr>
            <w:r>
              <w:rPr>
                <w:rFonts w:ascii="宋体" w:hAnsi="宋体" w:eastAsia="宋体" w:cs="宋体"/>
                <w:spacing w:val="4"/>
                <w:sz w:val="20"/>
                <w:szCs w:val="20"/>
              </w:rPr>
              <w:t>局部改制</w:t>
            </w:r>
          </w:p>
        </w:tc>
        <w:tc>
          <w:tcPr>
            <w:tcW w:w="6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59" w:line="300" w:lineRule="exact"/>
              <w:ind w:left="142" w:leftChars="0"/>
              <w:jc w:val="center"/>
              <w:textAlignment w:val="auto"/>
              <w:rPr>
                <w:rFonts w:ascii="宋体" w:hAnsi="宋体" w:eastAsia="宋体" w:cs="宋体"/>
                <w:kern w:val="2"/>
                <w:sz w:val="21"/>
                <w:szCs w:val="21"/>
                <w:lang w:val="en-US" w:eastAsia="zh-CN" w:bidi="ar-SA"/>
              </w:rPr>
            </w:pPr>
            <w:r>
              <w:rPr>
                <w:rFonts w:ascii="宋体" w:hAnsi="宋体" w:eastAsia="宋体" w:cs="宋体"/>
                <w:spacing w:val="7"/>
                <w:sz w:val="21"/>
                <w:szCs w:val="21"/>
              </w:rPr>
              <w:t>1套</w:t>
            </w:r>
          </w:p>
        </w:tc>
        <w:tc>
          <w:tcPr>
            <w:tcW w:w="5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59" w:line="300" w:lineRule="exact"/>
              <w:ind w:left="124" w:leftChars="0"/>
              <w:jc w:val="left"/>
              <w:textAlignment w:val="auto"/>
              <w:rPr>
                <w:rFonts w:ascii="宋体" w:hAnsi="宋体" w:eastAsia="宋体" w:cs="宋体"/>
                <w:kern w:val="2"/>
                <w:sz w:val="21"/>
                <w:szCs w:val="21"/>
                <w:lang w:val="en-US" w:eastAsia="zh-CN" w:bidi="ar-SA"/>
              </w:rPr>
            </w:pPr>
            <w:r>
              <w:rPr>
                <w:rFonts w:ascii="宋体" w:hAnsi="宋体" w:eastAsia="宋体" w:cs="宋体"/>
                <w:spacing w:val="-1"/>
                <w:sz w:val="21"/>
                <w:szCs w:val="21"/>
              </w:rPr>
              <w:t>预埋加强、加固、开孔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58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sz w:val="21"/>
              </w:rPr>
            </w:pPr>
          </w:p>
        </w:tc>
        <w:tc>
          <w:tcPr>
            <w:tcW w:w="75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sz w:val="21"/>
              </w:rPr>
            </w:pPr>
          </w:p>
        </w:tc>
        <w:tc>
          <w:tcPr>
            <w:tcW w:w="1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209" w:line="300" w:lineRule="exact"/>
              <w:ind w:left="491" w:leftChars="0" w:right="175" w:rightChars="0" w:hanging="300" w:firstLineChars="0"/>
              <w:jc w:val="center"/>
              <w:textAlignment w:val="auto"/>
              <w:rPr>
                <w:rFonts w:ascii="宋体" w:hAnsi="宋体" w:eastAsia="宋体" w:cs="宋体"/>
                <w:kern w:val="2"/>
                <w:sz w:val="20"/>
                <w:szCs w:val="20"/>
                <w:lang w:val="en-US" w:eastAsia="zh-CN" w:bidi="ar-SA"/>
              </w:rPr>
            </w:pPr>
            <w:r>
              <w:rPr>
                <w:rFonts w:ascii="宋体" w:hAnsi="宋体" w:eastAsia="宋体" w:cs="宋体"/>
                <w:spacing w:val="5"/>
                <w:sz w:val="20"/>
                <w:szCs w:val="20"/>
              </w:rPr>
              <w:t>升降照明</w:t>
            </w:r>
            <w:r>
              <w:rPr>
                <w:rFonts w:ascii="宋体" w:hAnsi="宋体" w:eastAsia="宋体" w:cs="宋体"/>
                <w:sz w:val="20"/>
                <w:szCs w:val="20"/>
              </w:rPr>
              <w:t xml:space="preserve"> 灯</w:t>
            </w:r>
          </w:p>
        </w:tc>
        <w:tc>
          <w:tcPr>
            <w:tcW w:w="6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65" w:line="300" w:lineRule="exact"/>
              <w:ind w:left="113" w:leftChars="0"/>
              <w:jc w:val="center"/>
              <w:textAlignment w:val="auto"/>
              <w:rPr>
                <w:rFonts w:ascii="宋体" w:hAnsi="宋体" w:eastAsia="宋体" w:cs="宋体"/>
                <w:kern w:val="2"/>
                <w:sz w:val="20"/>
                <w:szCs w:val="20"/>
                <w:lang w:val="en-US" w:eastAsia="zh-CN" w:bidi="ar-SA"/>
              </w:rPr>
            </w:pPr>
            <w:r>
              <w:rPr>
                <w:rFonts w:ascii="宋体" w:hAnsi="宋体" w:eastAsia="宋体" w:cs="宋体"/>
                <w:spacing w:val="10"/>
                <w:sz w:val="20"/>
                <w:szCs w:val="20"/>
              </w:rPr>
              <w:t>1台</w:t>
            </w:r>
          </w:p>
        </w:tc>
        <w:tc>
          <w:tcPr>
            <w:tcW w:w="5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48" w:line="300" w:lineRule="exact"/>
              <w:ind w:left="124" w:leftChars="0" w:right="85" w:rightChars="0"/>
              <w:jc w:val="left"/>
              <w:textAlignment w:val="auto"/>
              <w:rPr>
                <w:rFonts w:ascii="宋体" w:hAnsi="宋体" w:eastAsia="宋体" w:cs="宋体"/>
                <w:kern w:val="2"/>
                <w:sz w:val="20"/>
                <w:szCs w:val="20"/>
                <w:lang w:val="en-US" w:eastAsia="zh-CN" w:bidi="ar-SA"/>
              </w:rPr>
            </w:pPr>
            <w:r>
              <w:rPr>
                <w:rFonts w:ascii="宋体" w:hAnsi="宋体" w:eastAsia="宋体" w:cs="宋体"/>
                <w:spacing w:val="13"/>
                <w:sz w:val="20"/>
                <w:szCs w:val="20"/>
              </w:rPr>
              <w:t>最大升起高度为≥1.2米，照明灯为</w:t>
            </w:r>
            <w:r>
              <w:rPr>
                <w:rFonts w:ascii="宋体" w:hAnsi="宋体" w:eastAsia="宋体" w:cs="宋体"/>
                <w:sz w:val="20"/>
                <w:szCs w:val="20"/>
              </w:rPr>
              <w:t>LED</w:t>
            </w:r>
            <w:r>
              <w:rPr>
                <w:rFonts w:ascii="宋体" w:hAnsi="宋体" w:eastAsia="宋体" w:cs="宋体"/>
                <w:spacing w:val="13"/>
                <w:sz w:val="20"/>
                <w:szCs w:val="20"/>
              </w:rPr>
              <w:t>灯头，可360</w:t>
            </w:r>
            <w:r>
              <w:rPr>
                <w:rFonts w:ascii="宋体" w:hAnsi="宋体" w:eastAsia="宋体" w:cs="宋体"/>
                <w:spacing w:val="8"/>
                <w:sz w:val="20"/>
                <w:szCs w:val="20"/>
              </w:rPr>
              <w:t xml:space="preserve">  </w:t>
            </w:r>
            <w:r>
              <w:rPr>
                <w:rFonts w:ascii="宋体" w:hAnsi="宋体" w:eastAsia="宋体" w:cs="宋体"/>
                <w:spacing w:val="15"/>
                <w:sz w:val="20"/>
                <w:szCs w:val="20"/>
              </w:rPr>
              <w:t>旋转，工作功率≥2×70W,工作电压</w:t>
            </w:r>
            <w:r>
              <w:rPr>
                <w:rFonts w:ascii="宋体" w:hAnsi="宋体" w:eastAsia="宋体" w:cs="宋体"/>
                <w:sz w:val="20"/>
                <w:szCs w:val="20"/>
              </w:rPr>
              <w:t>AC</w:t>
            </w:r>
            <w:r>
              <w:rPr>
                <w:rFonts w:ascii="宋体" w:hAnsi="宋体" w:eastAsia="宋体" w:cs="宋体"/>
                <w:spacing w:val="15"/>
                <w:sz w:val="20"/>
                <w:szCs w:val="20"/>
              </w:rPr>
              <w:t>220V,控制电压</w:t>
            </w:r>
            <w:r>
              <w:rPr>
                <w:rFonts w:ascii="宋体" w:hAnsi="宋体" w:eastAsia="宋体" w:cs="宋体"/>
                <w:spacing w:val="3"/>
                <w:sz w:val="20"/>
                <w:szCs w:val="20"/>
              </w:rPr>
              <w:t xml:space="preserve"> </w:t>
            </w:r>
            <w:r>
              <w:rPr>
                <w:rFonts w:ascii="宋体" w:hAnsi="宋体" w:eastAsia="宋体" w:cs="宋体"/>
                <w:spacing w:val="-6"/>
                <w:sz w:val="20"/>
                <w:szCs w:val="20"/>
              </w:rPr>
              <w:t>12V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58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sz w:val="21"/>
              </w:rPr>
            </w:pPr>
          </w:p>
        </w:tc>
        <w:tc>
          <w:tcPr>
            <w:tcW w:w="75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sz w:val="21"/>
              </w:rPr>
            </w:pPr>
          </w:p>
        </w:tc>
        <w:tc>
          <w:tcPr>
            <w:tcW w:w="1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61" w:line="300" w:lineRule="exact"/>
              <w:ind w:left="341" w:leftChars="0" w:right="187" w:rightChars="0" w:hanging="150" w:firstLineChars="0"/>
              <w:jc w:val="center"/>
              <w:textAlignment w:val="auto"/>
              <w:rPr>
                <w:rFonts w:ascii="宋体" w:hAnsi="宋体" w:eastAsia="宋体" w:cs="宋体"/>
                <w:kern w:val="2"/>
                <w:sz w:val="20"/>
                <w:szCs w:val="20"/>
                <w:lang w:val="en-US" w:eastAsia="zh-CN" w:bidi="ar-SA"/>
              </w:rPr>
            </w:pPr>
            <w:r>
              <w:rPr>
                <w:rFonts w:ascii="宋体" w:hAnsi="宋体" w:eastAsia="宋体" w:cs="宋体"/>
                <w:spacing w:val="2"/>
                <w:sz w:val="20"/>
                <w:szCs w:val="20"/>
              </w:rPr>
              <w:t>小型冷藏</w:t>
            </w:r>
            <w:r>
              <w:rPr>
                <w:rFonts w:ascii="宋体" w:hAnsi="宋体" w:eastAsia="宋体" w:cs="宋体"/>
                <w:sz w:val="20"/>
                <w:szCs w:val="20"/>
              </w:rPr>
              <w:t xml:space="preserve"> </w:t>
            </w:r>
            <w:r>
              <w:rPr>
                <w:rFonts w:ascii="宋体" w:hAnsi="宋体" w:eastAsia="宋体" w:cs="宋体"/>
                <w:spacing w:val="-4"/>
                <w:sz w:val="20"/>
                <w:szCs w:val="20"/>
              </w:rPr>
              <w:t>冰</w:t>
            </w:r>
            <w:r>
              <w:rPr>
                <w:rFonts w:ascii="宋体" w:hAnsi="宋体" w:eastAsia="宋体" w:cs="宋体"/>
                <w:spacing w:val="9"/>
                <w:sz w:val="20"/>
                <w:szCs w:val="20"/>
              </w:rPr>
              <w:t xml:space="preserve"> </w:t>
            </w:r>
            <w:r>
              <w:rPr>
                <w:rFonts w:ascii="宋体" w:hAnsi="宋体" w:eastAsia="宋体" w:cs="宋体"/>
                <w:spacing w:val="-4"/>
                <w:sz w:val="20"/>
                <w:szCs w:val="20"/>
              </w:rPr>
              <w:t>箱</w:t>
            </w:r>
          </w:p>
        </w:tc>
        <w:tc>
          <w:tcPr>
            <w:tcW w:w="6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204" w:line="300" w:lineRule="exact"/>
              <w:ind w:left="113" w:leftChars="0"/>
              <w:jc w:val="center"/>
              <w:textAlignment w:val="auto"/>
              <w:rPr>
                <w:rFonts w:ascii="宋体" w:hAnsi="宋体" w:eastAsia="宋体" w:cs="宋体"/>
                <w:kern w:val="2"/>
                <w:sz w:val="20"/>
                <w:szCs w:val="20"/>
                <w:lang w:val="en-US" w:eastAsia="zh-CN" w:bidi="ar-SA"/>
              </w:rPr>
            </w:pPr>
            <w:r>
              <w:rPr>
                <w:rFonts w:ascii="宋体" w:hAnsi="宋体" w:eastAsia="宋体" w:cs="宋体"/>
                <w:spacing w:val="10"/>
                <w:sz w:val="20"/>
                <w:szCs w:val="20"/>
              </w:rPr>
              <w:t>1台</w:t>
            </w:r>
          </w:p>
        </w:tc>
        <w:tc>
          <w:tcPr>
            <w:tcW w:w="5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202" w:line="300" w:lineRule="exact"/>
              <w:ind w:left="124" w:leftChars="0"/>
              <w:jc w:val="left"/>
              <w:textAlignment w:val="auto"/>
              <w:rPr>
                <w:rFonts w:ascii="宋体" w:hAnsi="宋体" w:eastAsia="宋体" w:cs="宋体"/>
                <w:kern w:val="2"/>
                <w:sz w:val="20"/>
                <w:szCs w:val="20"/>
                <w:lang w:val="en-US" w:eastAsia="zh-CN" w:bidi="ar-SA"/>
              </w:rPr>
            </w:pPr>
            <w:r>
              <w:rPr>
                <w:rFonts w:ascii="宋体" w:hAnsi="宋体" w:eastAsia="宋体" w:cs="宋体"/>
                <w:spacing w:val="19"/>
                <w:sz w:val="20"/>
                <w:szCs w:val="20"/>
              </w:rPr>
              <w:t>定制12V小型冰箱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58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sz w:val="21"/>
              </w:rPr>
            </w:pPr>
          </w:p>
        </w:tc>
        <w:tc>
          <w:tcPr>
            <w:tcW w:w="75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sz w:val="21"/>
              </w:rPr>
            </w:pPr>
          </w:p>
        </w:tc>
        <w:tc>
          <w:tcPr>
            <w:tcW w:w="1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292" w:leftChars="0"/>
              <w:jc w:val="center"/>
              <w:textAlignment w:val="auto"/>
              <w:rPr>
                <w:rFonts w:ascii="宋体" w:hAnsi="宋体" w:eastAsia="宋体" w:cs="宋体"/>
                <w:kern w:val="2"/>
                <w:sz w:val="20"/>
                <w:szCs w:val="20"/>
                <w:lang w:val="en-US" w:eastAsia="zh-CN" w:bidi="ar-SA"/>
              </w:rPr>
            </w:pPr>
            <w:r>
              <w:rPr>
                <w:rFonts w:ascii="宋体" w:hAnsi="宋体" w:eastAsia="宋体" w:cs="宋体"/>
                <w:spacing w:val="-3"/>
                <w:sz w:val="20"/>
                <w:szCs w:val="20"/>
              </w:rPr>
              <w:t>后厢盖</w:t>
            </w:r>
          </w:p>
        </w:tc>
        <w:tc>
          <w:tcPr>
            <w:tcW w:w="6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65" w:line="300" w:lineRule="exact"/>
              <w:ind w:left="113" w:leftChars="0"/>
              <w:jc w:val="center"/>
              <w:textAlignment w:val="auto"/>
              <w:rPr>
                <w:rFonts w:ascii="宋体" w:hAnsi="宋体" w:eastAsia="宋体" w:cs="宋体"/>
                <w:kern w:val="2"/>
                <w:sz w:val="20"/>
                <w:szCs w:val="20"/>
                <w:lang w:val="en-US" w:eastAsia="zh-CN" w:bidi="ar-SA"/>
              </w:rPr>
            </w:pPr>
            <w:r>
              <w:rPr>
                <w:rFonts w:ascii="宋体" w:hAnsi="宋体" w:eastAsia="宋体" w:cs="宋体"/>
                <w:spacing w:val="5"/>
                <w:sz w:val="20"/>
                <w:szCs w:val="20"/>
              </w:rPr>
              <w:t>1套</w:t>
            </w:r>
          </w:p>
        </w:tc>
        <w:tc>
          <w:tcPr>
            <w:tcW w:w="5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53" w:line="300" w:lineRule="exact"/>
              <w:ind w:left="104" w:leftChars="0" w:right="84" w:rightChars="0" w:firstLine="20" w:firstLineChars="0"/>
              <w:jc w:val="left"/>
              <w:textAlignment w:val="auto"/>
              <w:rPr>
                <w:rFonts w:ascii="宋体" w:hAnsi="宋体" w:eastAsia="宋体" w:cs="宋体"/>
                <w:kern w:val="2"/>
                <w:sz w:val="20"/>
                <w:szCs w:val="20"/>
                <w:lang w:val="en-US" w:eastAsia="zh-CN" w:bidi="ar-SA"/>
              </w:rPr>
            </w:pPr>
            <w:r>
              <w:rPr>
                <w:rFonts w:ascii="宋体" w:hAnsi="宋体" w:eastAsia="宋体" w:cs="宋体"/>
                <w:spacing w:val="8"/>
                <w:sz w:val="20"/>
                <w:szCs w:val="20"/>
              </w:rPr>
              <w:t>后箱体，要求高强度，抗冲击性好，易修补，并进行整</w:t>
            </w:r>
            <w:r>
              <w:rPr>
                <w:rFonts w:ascii="宋体" w:hAnsi="宋体" w:eastAsia="宋体" w:cs="宋体"/>
                <w:spacing w:val="17"/>
                <w:sz w:val="20"/>
                <w:szCs w:val="20"/>
              </w:rPr>
              <w:t xml:space="preserve"> </w:t>
            </w:r>
            <w:r>
              <w:rPr>
                <w:rFonts w:ascii="宋体" w:hAnsi="宋体" w:eastAsia="宋体" w:cs="宋体"/>
                <w:spacing w:val="8"/>
                <w:sz w:val="20"/>
                <w:szCs w:val="20"/>
              </w:rPr>
              <w:t>理磷化电泳处理，可防雨，防晒，具有良好的防锈性防</w:t>
            </w:r>
            <w:r>
              <w:rPr>
                <w:rFonts w:ascii="宋体" w:hAnsi="宋体" w:eastAsia="宋体" w:cs="宋体"/>
                <w:spacing w:val="18"/>
                <w:sz w:val="20"/>
                <w:szCs w:val="20"/>
              </w:rPr>
              <w:t xml:space="preserve"> </w:t>
            </w:r>
            <w:r>
              <w:rPr>
                <w:rFonts w:ascii="宋体" w:hAnsi="宋体" w:eastAsia="宋体" w:cs="宋体"/>
                <w:spacing w:val="15"/>
                <w:sz w:val="20"/>
                <w:szCs w:val="20"/>
              </w:rPr>
              <w:t>腐性，实用性强。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Arial" w:eastAsia="宋体"/>
                <w:sz w:val="21"/>
                <w:lang w:val="en-US" w:eastAsia="zh-CN"/>
              </w:rPr>
            </w:pPr>
            <w:r>
              <w:rPr>
                <w:rFonts w:hint="eastAsia" w:ascii="Arial"/>
                <w:sz w:val="21"/>
                <w:lang w:val="en-US" w:eastAsia="zh-CN"/>
              </w:rPr>
              <w:t>7</w:t>
            </w:r>
          </w:p>
        </w:tc>
        <w:tc>
          <w:tcPr>
            <w:tcW w:w="7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03" w:line="300" w:lineRule="exact"/>
              <w:ind w:left="144"/>
              <w:jc w:val="center"/>
              <w:textAlignment w:val="auto"/>
              <w:rPr>
                <w:rFonts w:ascii="宋体" w:hAnsi="宋体" w:eastAsia="宋体" w:cs="宋体"/>
                <w:sz w:val="20"/>
                <w:szCs w:val="20"/>
              </w:rPr>
            </w:pPr>
            <w:r>
              <w:rPr>
                <w:rFonts w:ascii="宋体" w:hAnsi="宋体" w:eastAsia="宋体" w:cs="宋体"/>
                <w:spacing w:val="5"/>
                <w:position w:val="12"/>
                <w:sz w:val="20"/>
                <w:szCs w:val="20"/>
              </w:rPr>
              <w:t>充电</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sz w:val="21"/>
              </w:rPr>
            </w:pPr>
            <w:r>
              <w:rPr>
                <w:rFonts w:ascii="宋体" w:hAnsi="宋体" w:eastAsia="宋体" w:cs="宋体"/>
                <w:spacing w:val="-2"/>
                <w:sz w:val="20"/>
                <w:szCs w:val="20"/>
              </w:rPr>
              <w:t>装置</w:t>
            </w:r>
          </w:p>
        </w:tc>
        <w:tc>
          <w:tcPr>
            <w:tcW w:w="1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56" w:line="300" w:lineRule="exact"/>
              <w:ind w:left="282"/>
              <w:jc w:val="center"/>
              <w:textAlignment w:val="auto"/>
              <w:rPr>
                <w:rFonts w:ascii="宋体" w:hAnsi="宋体" w:eastAsia="宋体" w:cs="宋体"/>
                <w:spacing w:val="-3"/>
                <w:sz w:val="21"/>
                <w:szCs w:val="21"/>
              </w:rPr>
            </w:pPr>
            <w:r>
              <w:rPr>
                <w:rFonts w:ascii="宋体" w:hAnsi="宋体" w:eastAsia="宋体" w:cs="宋体"/>
                <w:spacing w:val="-3"/>
                <w:sz w:val="20"/>
                <w:szCs w:val="20"/>
              </w:rPr>
              <w:t>充电桩</w:t>
            </w:r>
          </w:p>
        </w:tc>
        <w:tc>
          <w:tcPr>
            <w:tcW w:w="6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59" w:line="300" w:lineRule="exact"/>
              <w:ind w:left="142"/>
              <w:jc w:val="center"/>
              <w:textAlignment w:val="auto"/>
              <w:rPr>
                <w:rFonts w:ascii="宋体" w:hAnsi="宋体" w:eastAsia="宋体" w:cs="宋体"/>
                <w:spacing w:val="-12"/>
                <w:sz w:val="21"/>
                <w:szCs w:val="21"/>
              </w:rPr>
            </w:pPr>
            <w:r>
              <w:rPr>
                <w:rFonts w:ascii="宋体" w:hAnsi="宋体" w:eastAsia="宋体" w:cs="宋体"/>
                <w:spacing w:val="5"/>
                <w:sz w:val="20"/>
                <w:szCs w:val="20"/>
              </w:rPr>
              <w:t>1套</w:t>
            </w:r>
          </w:p>
        </w:tc>
        <w:tc>
          <w:tcPr>
            <w:tcW w:w="5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56" w:line="300" w:lineRule="exact"/>
              <w:ind w:left="124"/>
              <w:jc w:val="left"/>
              <w:textAlignment w:val="auto"/>
              <w:rPr>
                <w:rFonts w:ascii="宋体" w:hAnsi="宋体" w:eastAsia="宋体" w:cs="宋体"/>
                <w:spacing w:val="7"/>
                <w:sz w:val="21"/>
                <w:szCs w:val="21"/>
              </w:rPr>
            </w:pPr>
            <w:r>
              <w:rPr>
                <w:rFonts w:ascii="宋体" w:hAnsi="宋体" w:eastAsia="宋体" w:cs="宋体"/>
                <w:spacing w:val="10"/>
                <w:sz w:val="20"/>
                <w:szCs w:val="20"/>
              </w:rPr>
              <w:t>智能交流充电桩，国标七芯，单枪，功率≥3</w:t>
            </w:r>
            <w:r>
              <w:rPr>
                <w:rFonts w:ascii="宋体" w:hAnsi="宋体" w:eastAsia="宋体" w:cs="宋体"/>
                <w:sz w:val="20"/>
                <w:szCs w:val="20"/>
              </w:rPr>
              <w:t>KW</w:t>
            </w:r>
          </w:p>
        </w:tc>
      </w:tr>
    </w:tbl>
    <w:p>
      <w:pPr>
        <w:spacing w:before="118" w:line="219" w:lineRule="auto"/>
        <w:ind w:left="9"/>
        <w:outlineLvl w:val="6"/>
        <w:rPr>
          <w:rFonts w:ascii="宋体" w:hAnsi="宋体" w:eastAsia="宋体" w:cs="宋体"/>
          <w:b/>
          <w:bCs/>
          <w:spacing w:val="5"/>
          <w:sz w:val="29"/>
          <w:szCs w:val="29"/>
        </w:rPr>
      </w:pPr>
    </w:p>
    <w:p>
      <w:pPr>
        <w:spacing w:before="118" w:line="219" w:lineRule="auto"/>
        <w:ind w:left="9"/>
        <w:outlineLvl w:val="6"/>
        <w:rPr>
          <w:rFonts w:ascii="宋体" w:hAnsi="宋体" w:eastAsia="宋体" w:cs="宋体"/>
          <w:b/>
          <w:bCs/>
          <w:spacing w:val="5"/>
          <w:sz w:val="29"/>
          <w:szCs w:val="29"/>
        </w:rPr>
      </w:pPr>
    </w:p>
    <w:p>
      <w:pPr>
        <w:spacing w:before="118" w:line="219" w:lineRule="auto"/>
        <w:ind w:left="9"/>
        <w:outlineLvl w:val="6"/>
        <w:rPr>
          <w:rFonts w:ascii="宋体" w:hAnsi="宋体" w:eastAsia="宋体" w:cs="宋体"/>
          <w:b/>
          <w:bCs/>
          <w:spacing w:val="5"/>
          <w:sz w:val="29"/>
          <w:szCs w:val="29"/>
        </w:rPr>
      </w:pPr>
    </w:p>
    <w:p>
      <w:pPr>
        <w:spacing w:before="118" w:line="219" w:lineRule="auto"/>
        <w:ind w:left="9"/>
        <w:outlineLvl w:val="6"/>
        <w:rPr>
          <w:rFonts w:ascii="宋体" w:hAnsi="宋体" w:eastAsia="宋体" w:cs="宋体"/>
          <w:b/>
          <w:bCs/>
          <w:spacing w:val="5"/>
          <w:sz w:val="29"/>
          <w:szCs w:val="29"/>
        </w:rPr>
      </w:pPr>
    </w:p>
    <w:p>
      <w:pPr>
        <w:spacing w:before="118" w:line="219" w:lineRule="auto"/>
        <w:ind w:left="9"/>
        <w:outlineLvl w:val="6"/>
        <w:rPr>
          <w:rFonts w:ascii="宋体" w:hAnsi="宋体" w:eastAsia="宋体" w:cs="宋体"/>
          <w:b/>
          <w:bCs/>
          <w:spacing w:val="5"/>
          <w:sz w:val="29"/>
          <w:szCs w:val="29"/>
        </w:rPr>
      </w:pPr>
    </w:p>
    <w:p>
      <w:pPr>
        <w:spacing w:before="118" w:line="219" w:lineRule="auto"/>
        <w:ind w:left="9"/>
        <w:outlineLvl w:val="6"/>
        <w:rPr>
          <w:rFonts w:ascii="宋体" w:hAnsi="宋体" w:eastAsia="宋体" w:cs="宋体"/>
          <w:b/>
          <w:bCs/>
          <w:spacing w:val="5"/>
          <w:sz w:val="29"/>
          <w:szCs w:val="29"/>
        </w:rPr>
      </w:pPr>
    </w:p>
    <w:p>
      <w:pPr>
        <w:spacing w:before="118" w:line="219" w:lineRule="auto"/>
        <w:outlineLvl w:val="6"/>
        <w:rPr>
          <w:rFonts w:ascii="宋体" w:hAnsi="宋体" w:eastAsia="宋体" w:cs="宋体"/>
          <w:b/>
          <w:bCs/>
          <w:spacing w:val="5"/>
          <w:sz w:val="29"/>
          <w:szCs w:val="29"/>
        </w:rPr>
      </w:pPr>
    </w:p>
    <w:p>
      <w:pPr>
        <w:spacing w:before="118" w:line="219" w:lineRule="auto"/>
        <w:ind w:left="9"/>
        <w:outlineLvl w:val="6"/>
        <w:rPr>
          <w:rFonts w:ascii="宋体" w:hAnsi="宋体" w:eastAsia="宋体" w:cs="宋体"/>
          <w:b/>
          <w:bCs/>
          <w:spacing w:val="5"/>
          <w:sz w:val="29"/>
          <w:szCs w:val="29"/>
        </w:rPr>
      </w:pPr>
      <w:r>
        <w:rPr>
          <w:rFonts w:ascii="宋体" w:hAnsi="宋体" w:eastAsia="宋体" w:cs="宋体"/>
          <w:b/>
          <w:bCs/>
          <w:spacing w:val="5"/>
          <w:sz w:val="29"/>
          <w:szCs w:val="29"/>
        </w:rPr>
        <w:t>3.警用现场勘查车(燃油型)</w:t>
      </w:r>
    </w:p>
    <w:tbl>
      <w:tblPr>
        <w:tblStyle w:val="118"/>
        <w:tblW w:w="89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5"/>
        <w:gridCol w:w="753"/>
        <w:gridCol w:w="1303"/>
        <w:gridCol w:w="677"/>
        <w:gridCol w:w="5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jc w:val="center"/>
        </w:trPr>
        <w:tc>
          <w:tcPr>
            <w:tcW w:w="585" w:type="dxa"/>
            <w:textDirection w:val="tbRlV"/>
            <w:vAlign w:val="center"/>
          </w:tcPr>
          <w:p>
            <w:pPr>
              <w:keepNext w:val="0"/>
              <w:keepLines w:val="0"/>
              <w:pageBreakBefore w:val="0"/>
              <w:widowControl w:val="0"/>
              <w:kinsoku/>
              <w:wordWrap/>
              <w:overflowPunct/>
              <w:topLinePunct w:val="0"/>
              <w:autoSpaceDE/>
              <w:autoSpaceDN/>
              <w:bidi w:val="0"/>
              <w:adjustRightInd/>
              <w:snapToGrid/>
              <w:spacing w:before="259" w:line="280" w:lineRule="exact"/>
              <w:ind w:left="83"/>
              <w:jc w:val="center"/>
              <w:textAlignment w:val="auto"/>
              <w:rPr>
                <w:rFonts w:ascii="宋体" w:hAnsi="宋体" w:eastAsia="宋体" w:cs="宋体"/>
                <w:sz w:val="21"/>
                <w:szCs w:val="21"/>
              </w:rPr>
            </w:pPr>
            <w:r>
              <w:rPr>
                <w:rFonts w:ascii="宋体" w:hAnsi="宋体" w:eastAsia="宋体" w:cs="宋体"/>
                <w:spacing w:val="18"/>
                <w:sz w:val="21"/>
                <w:szCs w:val="21"/>
              </w:rPr>
              <w:t>序号</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before="55" w:line="280" w:lineRule="exact"/>
              <w:ind w:left="131" w:right="127"/>
              <w:jc w:val="center"/>
              <w:textAlignment w:val="auto"/>
              <w:rPr>
                <w:rFonts w:ascii="宋体" w:hAnsi="宋体" w:eastAsia="宋体" w:cs="宋体"/>
                <w:sz w:val="21"/>
                <w:szCs w:val="21"/>
              </w:rPr>
            </w:pPr>
            <w:r>
              <w:rPr>
                <w:rFonts w:ascii="宋体" w:hAnsi="宋体" w:eastAsia="宋体" w:cs="宋体"/>
                <w:spacing w:val="5"/>
                <w:sz w:val="21"/>
                <w:szCs w:val="21"/>
              </w:rPr>
              <w:t>功能</w:t>
            </w:r>
            <w:r>
              <w:rPr>
                <w:rFonts w:ascii="宋体" w:hAnsi="宋体" w:eastAsia="宋体" w:cs="宋体"/>
                <w:sz w:val="21"/>
                <w:szCs w:val="21"/>
              </w:rPr>
              <w:t xml:space="preserve"> </w:t>
            </w:r>
            <w:r>
              <w:rPr>
                <w:rFonts w:ascii="宋体" w:hAnsi="宋体" w:eastAsia="宋体" w:cs="宋体"/>
                <w:spacing w:val="-3"/>
                <w:sz w:val="21"/>
                <w:szCs w:val="21"/>
              </w:rPr>
              <w:t>分类</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before="204" w:line="280" w:lineRule="exact"/>
              <w:ind w:left="172"/>
              <w:jc w:val="center"/>
              <w:textAlignment w:val="auto"/>
              <w:rPr>
                <w:rFonts w:ascii="宋体" w:hAnsi="宋体" w:eastAsia="宋体" w:cs="宋体"/>
                <w:sz w:val="21"/>
                <w:szCs w:val="21"/>
              </w:rPr>
            </w:pPr>
            <w:r>
              <w:rPr>
                <w:rFonts w:ascii="宋体" w:hAnsi="宋体" w:eastAsia="宋体" w:cs="宋体"/>
                <w:spacing w:val="2"/>
                <w:sz w:val="21"/>
                <w:szCs w:val="21"/>
              </w:rPr>
              <w:t>设备名称</w:t>
            </w:r>
          </w:p>
        </w:tc>
        <w:tc>
          <w:tcPr>
            <w:tcW w:w="677" w:type="dxa"/>
            <w:vAlign w:val="center"/>
          </w:tcPr>
          <w:p>
            <w:pPr>
              <w:keepNext w:val="0"/>
              <w:keepLines w:val="0"/>
              <w:pageBreakBefore w:val="0"/>
              <w:widowControl w:val="0"/>
              <w:kinsoku/>
              <w:wordWrap/>
              <w:overflowPunct/>
              <w:topLinePunct w:val="0"/>
              <w:autoSpaceDE/>
              <w:autoSpaceDN/>
              <w:bidi w:val="0"/>
              <w:adjustRightInd/>
              <w:snapToGrid/>
              <w:spacing w:before="43" w:line="280" w:lineRule="exact"/>
              <w:ind w:left="203"/>
              <w:jc w:val="center"/>
              <w:textAlignment w:val="auto"/>
              <w:rPr>
                <w:rFonts w:ascii="宋体" w:hAnsi="宋体" w:eastAsia="宋体" w:cs="宋体"/>
                <w:sz w:val="21"/>
                <w:szCs w:val="21"/>
              </w:rPr>
            </w:pPr>
            <w:r>
              <w:rPr>
                <w:rFonts w:ascii="宋体" w:hAnsi="宋体" w:eastAsia="宋体" w:cs="宋体"/>
                <w:sz w:val="21"/>
                <w:szCs w:val="21"/>
              </w:rPr>
              <w:t>数</w:t>
            </w:r>
          </w:p>
          <w:p>
            <w:pPr>
              <w:keepNext w:val="0"/>
              <w:keepLines w:val="0"/>
              <w:pageBreakBefore w:val="0"/>
              <w:widowControl w:val="0"/>
              <w:kinsoku/>
              <w:wordWrap/>
              <w:overflowPunct/>
              <w:topLinePunct w:val="0"/>
              <w:autoSpaceDE/>
              <w:autoSpaceDN/>
              <w:bidi w:val="0"/>
              <w:adjustRightInd/>
              <w:snapToGrid/>
              <w:spacing w:line="280" w:lineRule="exact"/>
              <w:ind w:left="203"/>
              <w:jc w:val="center"/>
              <w:textAlignment w:val="auto"/>
              <w:rPr>
                <w:rFonts w:ascii="宋体" w:hAnsi="宋体" w:eastAsia="宋体" w:cs="宋体"/>
                <w:sz w:val="21"/>
                <w:szCs w:val="21"/>
              </w:rPr>
            </w:pPr>
            <w:r>
              <w:rPr>
                <w:rFonts w:ascii="宋体" w:hAnsi="宋体" w:eastAsia="宋体" w:cs="宋体"/>
                <w:sz w:val="21"/>
                <w:szCs w:val="21"/>
              </w:rPr>
              <w:t>量</w:t>
            </w:r>
          </w:p>
        </w:tc>
        <w:tc>
          <w:tcPr>
            <w:tcW w:w="5639" w:type="dxa"/>
            <w:vAlign w:val="center"/>
          </w:tcPr>
          <w:p>
            <w:pPr>
              <w:keepNext w:val="0"/>
              <w:keepLines w:val="0"/>
              <w:pageBreakBefore w:val="0"/>
              <w:widowControl w:val="0"/>
              <w:kinsoku/>
              <w:wordWrap/>
              <w:overflowPunct/>
              <w:topLinePunct w:val="0"/>
              <w:autoSpaceDE/>
              <w:autoSpaceDN/>
              <w:bidi w:val="0"/>
              <w:adjustRightInd/>
              <w:snapToGrid/>
              <w:spacing w:before="203" w:line="280" w:lineRule="exact"/>
              <w:ind w:left="2204"/>
              <w:jc w:val="left"/>
              <w:textAlignment w:val="auto"/>
              <w:rPr>
                <w:rFonts w:ascii="宋体" w:hAnsi="宋体" w:eastAsia="宋体" w:cs="宋体"/>
                <w:sz w:val="21"/>
                <w:szCs w:val="21"/>
              </w:rPr>
            </w:pPr>
            <w:r>
              <w:rPr>
                <w:rFonts w:ascii="宋体" w:hAnsi="宋体" w:eastAsia="宋体" w:cs="宋体"/>
                <w:spacing w:val="-2"/>
                <w:sz w:val="21"/>
                <w:szCs w:val="21"/>
              </w:rPr>
              <w:t>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585" w:type="dxa"/>
            <w:vAlign w:val="center"/>
          </w:tcPr>
          <w:p>
            <w:pPr>
              <w:keepNext w:val="0"/>
              <w:keepLines w:val="0"/>
              <w:pageBreakBefore w:val="0"/>
              <w:widowControl w:val="0"/>
              <w:kinsoku/>
              <w:wordWrap/>
              <w:overflowPunct/>
              <w:topLinePunct w:val="0"/>
              <w:autoSpaceDE/>
              <w:autoSpaceDN/>
              <w:bidi w:val="0"/>
              <w:adjustRightInd/>
              <w:snapToGrid/>
              <w:spacing w:before="257" w:line="280" w:lineRule="exact"/>
              <w:ind w:left="64"/>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1</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before="73" w:line="280" w:lineRule="exact"/>
              <w:ind w:left="131" w:right="128"/>
              <w:jc w:val="center"/>
              <w:textAlignment w:val="auto"/>
              <w:rPr>
                <w:rFonts w:ascii="宋体" w:hAnsi="宋体" w:eastAsia="宋体" w:cs="宋体"/>
                <w:sz w:val="21"/>
                <w:szCs w:val="21"/>
              </w:rPr>
            </w:pPr>
            <w:r>
              <w:rPr>
                <w:rFonts w:ascii="宋体" w:hAnsi="宋体" w:eastAsia="宋体" w:cs="宋体"/>
                <w:spacing w:val="-5"/>
                <w:sz w:val="21"/>
                <w:szCs w:val="21"/>
              </w:rPr>
              <w:t>基础</w:t>
            </w:r>
            <w:r>
              <w:rPr>
                <w:rFonts w:ascii="宋体" w:hAnsi="宋体" w:eastAsia="宋体" w:cs="宋体"/>
                <w:sz w:val="21"/>
                <w:szCs w:val="21"/>
              </w:rPr>
              <w:t xml:space="preserve"> </w:t>
            </w:r>
            <w:r>
              <w:rPr>
                <w:rFonts w:ascii="宋体" w:hAnsi="宋体" w:eastAsia="宋体" w:cs="宋体"/>
                <w:spacing w:val="6"/>
                <w:sz w:val="21"/>
                <w:szCs w:val="21"/>
              </w:rPr>
              <w:t>车型</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before="204" w:line="280" w:lineRule="exact"/>
              <w:ind w:left="172"/>
              <w:jc w:val="center"/>
              <w:textAlignment w:val="auto"/>
              <w:rPr>
                <w:rFonts w:ascii="宋体" w:hAnsi="宋体" w:eastAsia="宋体" w:cs="宋体"/>
                <w:sz w:val="21"/>
                <w:szCs w:val="21"/>
              </w:rPr>
            </w:pPr>
            <w:r>
              <w:rPr>
                <w:rFonts w:ascii="宋体" w:hAnsi="宋体" w:eastAsia="宋体" w:cs="宋体"/>
                <w:spacing w:val="-2"/>
                <w:sz w:val="21"/>
                <w:szCs w:val="21"/>
              </w:rPr>
              <w:t>底盘</w:t>
            </w:r>
          </w:p>
        </w:tc>
        <w:tc>
          <w:tcPr>
            <w:tcW w:w="677" w:type="dxa"/>
            <w:vAlign w:val="center"/>
          </w:tcPr>
          <w:p>
            <w:pPr>
              <w:keepNext w:val="0"/>
              <w:keepLines w:val="0"/>
              <w:pageBreakBefore w:val="0"/>
              <w:widowControl w:val="0"/>
              <w:kinsoku/>
              <w:wordWrap/>
              <w:overflowPunct/>
              <w:topLinePunct w:val="0"/>
              <w:autoSpaceDE/>
              <w:autoSpaceDN/>
              <w:bidi w:val="0"/>
              <w:adjustRightInd/>
              <w:snapToGrid/>
              <w:spacing w:before="204" w:line="280" w:lineRule="exact"/>
              <w:ind w:left="142"/>
              <w:jc w:val="center"/>
              <w:textAlignment w:val="auto"/>
              <w:rPr>
                <w:rFonts w:ascii="宋体" w:hAnsi="宋体" w:eastAsia="宋体" w:cs="宋体"/>
                <w:sz w:val="21"/>
                <w:szCs w:val="21"/>
              </w:rPr>
            </w:pPr>
            <w:r>
              <w:rPr>
                <w:rFonts w:ascii="宋体" w:hAnsi="宋体" w:eastAsia="宋体" w:cs="宋体"/>
                <w:spacing w:val="8"/>
                <w:sz w:val="21"/>
                <w:szCs w:val="21"/>
              </w:rPr>
              <w:t>1台</w:t>
            </w:r>
          </w:p>
        </w:tc>
        <w:tc>
          <w:tcPr>
            <w:tcW w:w="5639"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238" w:firstLineChars="100"/>
              <w:textAlignment w:val="auto"/>
              <w:rPr>
                <w:rFonts w:ascii="宋体" w:hAnsi="宋体" w:eastAsia="宋体" w:cs="宋体"/>
                <w:sz w:val="21"/>
                <w:szCs w:val="21"/>
              </w:rPr>
            </w:pPr>
            <w:r>
              <w:rPr>
                <w:rFonts w:ascii="宋体" w:hAnsi="宋体" w:eastAsia="宋体" w:cs="宋体"/>
                <w:spacing w:val="14"/>
                <w:sz w:val="21"/>
                <w:szCs w:val="21"/>
              </w:rPr>
              <w:t>(1)▲长×宽×高(</w:t>
            </w:r>
            <w:r>
              <w:rPr>
                <w:rFonts w:ascii="宋体" w:hAnsi="宋体" w:eastAsia="宋体" w:cs="宋体"/>
                <w:sz w:val="21"/>
                <w:szCs w:val="21"/>
              </w:rPr>
              <w:t>mm</w:t>
            </w:r>
            <w:r>
              <w:rPr>
                <w:rFonts w:ascii="宋体" w:hAnsi="宋体" w:eastAsia="宋体" w:cs="宋体"/>
                <w:spacing w:val="14"/>
                <w:sz w:val="21"/>
                <w:szCs w:val="21"/>
              </w:rPr>
              <w:t>):≥4970×2090×1980</w:t>
            </w:r>
          </w:p>
          <w:p>
            <w:pPr>
              <w:keepNext w:val="0"/>
              <w:keepLines w:val="0"/>
              <w:pageBreakBefore w:val="0"/>
              <w:widowControl w:val="0"/>
              <w:kinsoku/>
              <w:wordWrap/>
              <w:overflowPunct/>
              <w:topLinePunct w:val="0"/>
              <w:autoSpaceDE/>
              <w:autoSpaceDN/>
              <w:bidi w:val="0"/>
              <w:adjustRightInd/>
              <w:snapToGrid/>
              <w:spacing w:before="69" w:line="280" w:lineRule="exact"/>
              <w:ind w:left="174"/>
              <w:textAlignment w:val="auto"/>
              <w:rPr>
                <w:rFonts w:ascii="宋体" w:hAnsi="宋体" w:eastAsia="宋体" w:cs="宋体"/>
                <w:sz w:val="21"/>
                <w:szCs w:val="21"/>
              </w:rPr>
            </w:pPr>
            <w:r>
              <w:rPr>
                <w:rFonts w:ascii="宋体" w:hAnsi="宋体" w:eastAsia="宋体" w:cs="宋体"/>
                <w:spacing w:val="27"/>
                <w:sz w:val="21"/>
                <w:szCs w:val="21"/>
              </w:rPr>
              <w:t>(2)轴距(</w:t>
            </w:r>
            <w:r>
              <w:rPr>
                <w:rFonts w:ascii="宋体" w:hAnsi="宋体" w:eastAsia="宋体" w:cs="宋体"/>
                <w:sz w:val="21"/>
                <w:szCs w:val="21"/>
              </w:rPr>
              <w:t>mm</w:t>
            </w:r>
            <w:r>
              <w:rPr>
                <w:rFonts w:ascii="宋体" w:hAnsi="宋体" w:eastAsia="宋体" w:cs="宋体"/>
                <w:spacing w:val="27"/>
                <w:sz w:val="21"/>
                <w:szCs w:val="21"/>
              </w:rPr>
              <w:t>):≥2930</w:t>
            </w:r>
          </w:p>
          <w:p>
            <w:pPr>
              <w:keepNext w:val="0"/>
              <w:keepLines w:val="0"/>
              <w:pageBreakBefore w:val="0"/>
              <w:widowControl w:val="0"/>
              <w:kinsoku/>
              <w:wordWrap/>
              <w:overflowPunct/>
              <w:topLinePunct w:val="0"/>
              <w:autoSpaceDE/>
              <w:autoSpaceDN/>
              <w:bidi w:val="0"/>
              <w:adjustRightInd/>
              <w:snapToGrid/>
              <w:spacing w:before="44" w:line="280" w:lineRule="exact"/>
              <w:ind w:left="174"/>
              <w:textAlignment w:val="auto"/>
              <w:rPr>
                <w:rFonts w:ascii="宋体" w:hAnsi="宋体" w:eastAsia="宋体" w:cs="宋体"/>
                <w:sz w:val="21"/>
                <w:szCs w:val="21"/>
              </w:rPr>
            </w:pPr>
            <w:r>
              <w:rPr>
                <w:rFonts w:ascii="宋体" w:hAnsi="宋体" w:eastAsia="宋体" w:cs="宋体"/>
                <w:spacing w:val="10"/>
                <w:sz w:val="21"/>
                <w:szCs w:val="21"/>
              </w:rPr>
              <w:t>(3)最大总质量(</w:t>
            </w:r>
            <w:r>
              <w:rPr>
                <w:rFonts w:ascii="宋体" w:hAnsi="宋体" w:eastAsia="宋体" w:cs="宋体"/>
                <w:sz w:val="21"/>
                <w:szCs w:val="21"/>
              </w:rPr>
              <w:t>kg</w:t>
            </w:r>
            <w:r>
              <w:rPr>
                <w:rFonts w:ascii="宋体" w:hAnsi="宋体" w:eastAsia="宋体" w:cs="宋体"/>
                <w:spacing w:val="10"/>
                <w:sz w:val="21"/>
                <w:szCs w:val="21"/>
              </w:rPr>
              <w:t>):≥2900</w:t>
            </w:r>
          </w:p>
          <w:p>
            <w:pPr>
              <w:keepNext w:val="0"/>
              <w:keepLines w:val="0"/>
              <w:pageBreakBefore w:val="0"/>
              <w:widowControl w:val="0"/>
              <w:kinsoku/>
              <w:wordWrap/>
              <w:overflowPunct/>
              <w:topLinePunct w:val="0"/>
              <w:autoSpaceDE/>
              <w:autoSpaceDN/>
              <w:bidi w:val="0"/>
              <w:adjustRightInd/>
              <w:snapToGrid/>
              <w:spacing w:before="62" w:line="280" w:lineRule="exact"/>
              <w:ind w:left="174"/>
              <w:textAlignment w:val="auto"/>
              <w:rPr>
                <w:rFonts w:ascii="宋体" w:hAnsi="宋体" w:eastAsia="宋体" w:cs="宋体"/>
                <w:sz w:val="21"/>
                <w:szCs w:val="21"/>
              </w:rPr>
            </w:pPr>
            <w:r>
              <w:rPr>
                <w:rFonts w:ascii="宋体" w:hAnsi="宋体" w:eastAsia="宋体" w:cs="宋体"/>
                <w:spacing w:val="13"/>
                <w:sz w:val="21"/>
                <w:szCs w:val="21"/>
              </w:rPr>
              <w:t>(4)接近角/离去角(。):≥18/20</w:t>
            </w:r>
          </w:p>
          <w:p>
            <w:pPr>
              <w:keepNext w:val="0"/>
              <w:keepLines w:val="0"/>
              <w:pageBreakBefore w:val="0"/>
              <w:widowControl w:val="0"/>
              <w:kinsoku/>
              <w:wordWrap/>
              <w:overflowPunct/>
              <w:topLinePunct w:val="0"/>
              <w:autoSpaceDE/>
              <w:autoSpaceDN/>
              <w:bidi w:val="0"/>
              <w:adjustRightInd/>
              <w:snapToGrid/>
              <w:spacing w:before="73" w:line="280" w:lineRule="exact"/>
              <w:ind w:left="174"/>
              <w:textAlignment w:val="auto"/>
              <w:rPr>
                <w:rFonts w:ascii="宋体" w:hAnsi="宋体" w:eastAsia="宋体" w:cs="宋体"/>
                <w:sz w:val="21"/>
                <w:szCs w:val="21"/>
              </w:rPr>
            </w:pPr>
            <w:r>
              <w:rPr>
                <w:rFonts w:ascii="宋体" w:hAnsi="宋体" w:eastAsia="宋体" w:cs="宋体"/>
                <w:spacing w:val="9"/>
                <w:sz w:val="21"/>
                <w:szCs w:val="21"/>
              </w:rPr>
              <w:t>(5)最高车速(</w:t>
            </w:r>
            <w:r>
              <w:rPr>
                <w:rFonts w:ascii="宋体" w:hAnsi="宋体" w:eastAsia="宋体" w:cs="宋体"/>
                <w:sz w:val="21"/>
                <w:szCs w:val="21"/>
              </w:rPr>
              <w:t>km</w:t>
            </w:r>
            <w:r>
              <w:rPr>
                <w:rFonts w:ascii="宋体" w:hAnsi="宋体" w:eastAsia="宋体" w:cs="宋体"/>
                <w:spacing w:val="9"/>
                <w:sz w:val="21"/>
                <w:szCs w:val="21"/>
              </w:rPr>
              <w:t>/h):≥170</w:t>
            </w:r>
          </w:p>
          <w:p>
            <w:pPr>
              <w:keepNext w:val="0"/>
              <w:keepLines w:val="0"/>
              <w:pageBreakBefore w:val="0"/>
              <w:widowControl w:val="0"/>
              <w:kinsoku/>
              <w:wordWrap/>
              <w:overflowPunct/>
              <w:topLinePunct w:val="0"/>
              <w:autoSpaceDE/>
              <w:autoSpaceDN/>
              <w:bidi w:val="0"/>
              <w:adjustRightInd/>
              <w:snapToGrid/>
              <w:spacing w:before="40" w:line="280" w:lineRule="exact"/>
              <w:ind w:left="174"/>
              <w:textAlignment w:val="auto"/>
              <w:rPr>
                <w:rFonts w:ascii="宋体" w:hAnsi="宋体" w:eastAsia="宋体" w:cs="宋体"/>
                <w:sz w:val="21"/>
                <w:szCs w:val="21"/>
              </w:rPr>
            </w:pPr>
            <w:r>
              <w:rPr>
                <w:rFonts w:ascii="宋体" w:hAnsi="宋体" w:eastAsia="宋体" w:cs="宋体"/>
                <w:spacing w:val="9"/>
                <w:sz w:val="21"/>
                <w:szCs w:val="21"/>
              </w:rPr>
              <w:t>(6)最小离地间隙(</w:t>
            </w:r>
            <w:r>
              <w:rPr>
                <w:rFonts w:ascii="宋体" w:hAnsi="宋体" w:eastAsia="宋体" w:cs="宋体"/>
                <w:sz w:val="21"/>
                <w:szCs w:val="21"/>
              </w:rPr>
              <w:t>mm</w:t>
            </w:r>
            <w:r>
              <w:rPr>
                <w:rFonts w:ascii="宋体" w:hAnsi="宋体" w:eastAsia="宋体" w:cs="宋体"/>
                <w:spacing w:val="9"/>
                <w:sz w:val="21"/>
                <w:szCs w:val="21"/>
              </w:rPr>
              <w:t>):≥170</w:t>
            </w:r>
          </w:p>
          <w:p>
            <w:pPr>
              <w:keepNext w:val="0"/>
              <w:keepLines w:val="0"/>
              <w:pageBreakBefore w:val="0"/>
              <w:widowControl w:val="0"/>
              <w:kinsoku/>
              <w:wordWrap/>
              <w:overflowPunct/>
              <w:topLinePunct w:val="0"/>
              <w:autoSpaceDE/>
              <w:autoSpaceDN/>
              <w:bidi w:val="0"/>
              <w:adjustRightInd/>
              <w:snapToGrid/>
              <w:spacing w:before="52" w:line="280" w:lineRule="exact"/>
              <w:ind w:left="174"/>
              <w:textAlignment w:val="auto"/>
              <w:rPr>
                <w:rFonts w:ascii="宋体" w:hAnsi="宋体" w:eastAsia="宋体" w:cs="宋体"/>
                <w:sz w:val="21"/>
                <w:szCs w:val="21"/>
              </w:rPr>
            </w:pPr>
            <w:r>
              <w:rPr>
                <w:rFonts w:ascii="宋体" w:hAnsi="宋体" w:eastAsia="宋体" w:cs="宋体"/>
                <w:spacing w:val="5"/>
                <w:sz w:val="21"/>
                <w:szCs w:val="21"/>
              </w:rPr>
              <w:t>(7)驱动方式：前置前驱</w:t>
            </w:r>
          </w:p>
          <w:p>
            <w:pPr>
              <w:keepNext w:val="0"/>
              <w:keepLines w:val="0"/>
              <w:pageBreakBefore w:val="0"/>
              <w:widowControl w:val="0"/>
              <w:kinsoku/>
              <w:wordWrap/>
              <w:overflowPunct/>
              <w:topLinePunct w:val="0"/>
              <w:autoSpaceDE/>
              <w:autoSpaceDN/>
              <w:bidi w:val="0"/>
              <w:adjustRightInd/>
              <w:snapToGrid/>
              <w:spacing w:before="60" w:line="280" w:lineRule="exact"/>
              <w:ind w:left="174"/>
              <w:textAlignment w:val="auto"/>
              <w:rPr>
                <w:rFonts w:ascii="宋体" w:hAnsi="宋体" w:eastAsia="宋体" w:cs="宋体"/>
                <w:sz w:val="21"/>
                <w:szCs w:val="21"/>
              </w:rPr>
            </w:pPr>
            <w:r>
              <w:rPr>
                <w:rFonts w:ascii="宋体" w:hAnsi="宋体" w:eastAsia="宋体" w:cs="宋体"/>
                <w:spacing w:val="8"/>
                <w:sz w:val="21"/>
                <w:szCs w:val="21"/>
              </w:rPr>
              <w:t>(8)国六排放标准</w:t>
            </w:r>
          </w:p>
          <w:p>
            <w:pPr>
              <w:keepNext w:val="0"/>
              <w:keepLines w:val="0"/>
              <w:pageBreakBefore w:val="0"/>
              <w:widowControl w:val="0"/>
              <w:kinsoku/>
              <w:wordWrap/>
              <w:overflowPunct/>
              <w:topLinePunct w:val="0"/>
              <w:autoSpaceDE/>
              <w:autoSpaceDN/>
              <w:bidi w:val="0"/>
              <w:adjustRightInd/>
              <w:snapToGrid/>
              <w:spacing w:before="60" w:line="280" w:lineRule="exact"/>
              <w:ind w:left="174"/>
              <w:textAlignment w:val="auto"/>
              <w:rPr>
                <w:rFonts w:ascii="宋体" w:hAnsi="宋体" w:eastAsia="宋体" w:cs="宋体"/>
                <w:sz w:val="21"/>
                <w:szCs w:val="21"/>
              </w:rPr>
            </w:pPr>
            <w:r>
              <w:rPr>
                <w:rFonts w:ascii="宋体" w:hAnsi="宋体" w:eastAsia="宋体" w:cs="宋体"/>
                <w:spacing w:val="3"/>
                <w:sz w:val="21"/>
                <w:szCs w:val="21"/>
              </w:rPr>
              <w:t>(9)进气形式：涡轮增压</w:t>
            </w:r>
          </w:p>
          <w:p>
            <w:pPr>
              <w:keepNext w:val="0"/>
              <w:keepLines w:val="0"/>
              <w:pageBreakBefore w:val="0"/>
              <w:widowControl w:val="0"/>
              <w:kinsoku/>
              <w:wordWrap/>
              <w:overflowPunct/>
              <w:topLinePunct w:val="0"/>
              <w:autoSpaceDE/>
              <w:autoSpaceDN/>
              <w:bidi w:val="0"/>
              <w:adjustRightInd/>
              <w:snapToGrid/>
              <w:spacing w:before="59" w:line="280" w:lineRule="exact"/>
              <w:ind w:left="174"/>
              <w:textAlignment w:val="auto"/>
              <w:rPr>
                <w:rFonts w:ascii="宋体" w:hAnsi="宋体" w:eastAsia="宋体" w:cs="宋体"/>
                <w:sz w:val="21"/>
                <w:szCs w:val="21"/>
              </w:rPr>
            </w:pPr>
            <w:r>
              <w:rPr>
                <w:rFonts w:ascii="宋体" w:hAnsi="宋体" w:eastAsia="宋体" w:cs="宋体"/>
                <w:sz w:val="21"/>
                <w:szCs w:val="21"/>
              </w:rPr>
              <w:t>(10)汽缸排列形式：L</w:t>
            </w:r>
          </w:p>
          <w:p>
            <w:pPr>
              <w:keepNext w:val="0"/>
              <w:keepLines w:val="0"/>
              <w:pageBreakBefore w:val="0"/>
              <w:widowControl w:val="0"/>
              <w:kinsoku/>
              <w:wordWrap/>
              <w:overflowPunct/>
              <w:topLinePunct w:val="0"/>
              <w:autoSpaceDE/>
              <w:autoSpaceDN/>
              <w:bidi w:val="0"/>
              <w:adjustRightInd/>
              <w:snapToGrid/>
              <w:spacing w:before="57" w:line="280" w:lineRule="exact"/>
              <w:ind w:left="174"/>
              <w:textAlignment w:val="auto"/>
              <w:rPr>
                <w:rFonts w:ascii="宋体" w:hAnsi="宋体" w:eastAsia="宋体" w:cs="宋体"/>
                <w:sz w:val="21"/>
                <w:szCs w:val="21"/>
              </w:rPr>
            </w:pPr>
            <w:r>
              <w:rPr>
                <w:rFonts w:ascii="宋体" w:hAnsi="宋体" w:eastAsia="宋体" w:cs="宋体"/>
                <w:spacing w:val="11"/>
                <w:sz w:val="21"/>
                <w:szCs w:val="21"/>
              </w:rPr>
              <w:t>(11)汽缸数：4(个)</w:t>
            </w:r>
          </w:p>
          <w:p>
            <w:pPr>
              <w:keepNext w:val="0"/>
              <w:keepLines w:val="0"/>
              <w:pageBreakBefore w:val="0"/>
              <w:widowControl w:val="0"/>
              <w:kinsoku/>
              <w:wordWrap/>
              <w:overflowPunct/>
              <w:topLinePunct w:val="0"/>
              <w:autoSpaceDE/>
              <w:autoSpaceDN/>
              <w:bidi w:val="0"/>
              <w:adjustRightInd/>
              <w:snapToGrid/>
              <w:spacing w:before="59" w:line="280" w:lineRule="exact"/>
              <w:ind w:left="174"/>
              <w:textAlignment w:val="auto"/>
              <w:rPr>
                <w:rFonts w:ascii="宋体" w:hAnsi="宋体" w:eastAsia="宋体" w:cs="宋体"/>
                <w:sz w:val="21"/>
                <w:szCs w:val="21"/>
              </w:rPr>
            </w:pPr>
            <w:r>
              <w:rPr>
                <w:rFonts w:ascii="宋体" w:hAnsi="宋体" w:eastAsia="宋体" w:cs="宋体"/>
                <w:sz w:val="21"/>
                <w:szCs w:val="21"/>
              </w:rPr>
              <w:t>(12)前悬架类型：麦弗逊式独立悬架</w:t>
            </w:r>
          </w:p>
          <w:p>
            <w:pPr>
              <w:keepNext w:val="0"/>
              <w:keepLines w:val="0"/>
              <w:pageBreakBefore w:val="0"/>
              <w:widowControl w:val="0"/>
              <w:kinsoku/>
              <w:wordWrap/>
              <w:overflowPunct/>
              <w:topLinePunct w:val="0"/>
              <w:autoSpaceDE/>
              <w:autoSpaceDN/>
              <w:bidi w:val="0"/>
              <w:adjustRightInd/>
              <w:snapToGrid/>
              <w:spacing w:before="41" w:line="280" w:lineRule="exact"/>
              <w:ind w:left="174"/>
              <w:textAlignment w:val="auto"/>
              <w:rPr>
                <w:rFonts w:ascii="宋体" w:hAnsi="宋体" w:eastAsia="宋体" w:cs="宋体"/>
                <w:sz w:val="21"/>
                <w:szCs w:val="21"/>
              </w:rPr>
            </w:pPr>
            <w:r>
              <w:rPr>
                <w:rFonts w:ascii="宋体" w:hAnsi="宋体" w:eastAsia="宋体" w:cs="宋体"/>
                <w:sz w:val="21"/>
                <w:szCs w:val="21"/>
              </w:rPr>
              <w:t>(13)后悬架类型：钢板弹簧非独立悬架</w:t>
            </w:r>
          </w:p>
          <w:p>
            <w:pPr>
              <w:keepNext w:val="0"/>
              <w:keepLines w:val="0"/>
              <w:pageBreakBefore w:val="0"/>
              <w:widowControl w:val="0"/>
              <w:kinsoku/>
              <w:wordWrap/>
              <w:overflowPunct/>
              <w:topLinePunct w:val="0"/>
              <w:autoSpaceDE/>
              <w:autoSpaceDN/>
              <w:bidi w:val="0"/>
              <w:adjustRightInd/>
              <w:snapToGrid/>
              <w:spacing w:before="63" w:line="280" w:lineRule="exact"/>
              <w:ind w:left="174"/>
              <w:textAlignment w:val="auto"/>
              <w:rPr>
                <w:rFonts w:ascii="宋体" w:hAnsi="宋体" w:eastAsia="宋体" w:cs="宋体"/>
                <w:sz w:val="21"/>
                <w:szCs w:val="21"/>
              </w:rPr>
            </w:pPr>
            <w:r>
              <w:rPr>
                <w:rFonts w:ascii="宋体" w:hAnsi="宋体" w:eastAsia="宋体" w:cs="宋体"/>
                <w:sz w:val="21"/>
                <w:szCs w:val="21"/>
              </w:rPr>
              <w:t>(14)轮胎规格：≥215/65R16</w:t>
            </w:r>
          </w:p>
          <w:p>
            <w:pPr>
              <w:keepNext w:val="0"/>
              <w:keepLines w:val="0"/>
              <w:pageBreakBefore w:val="0"/>
              <w:widowControl w:val="0"/>
              <w:kinsoku/>
              <w:wordWrap/>
              <w:overflowPunct/>
              <w:topLinePunct w:val="0"/>
              <w:autoSpaceDE/>
              <w:autoSpaceDN/>
              <w:bidi w:val="0"/>
              <w:adjustRightInd/>
              <w:snapToGrid/>
              <w:spacing w:before="73" w:line="280" w:lineRule="exact"/>
              <w:ind w:left="174"/>
              <w:textAlignment w:val="auto"/>
              <w:rPr>
                <w:rFonts w:ascii="宋体" w:hAnsi="宋体" w:eastAsia="宋体" w:cs="宋体"/>
                <w:sz w:val="21"/>
                <w:szCs w:val="21"/>
              </w:rPr>
            </w:pPr>
            <w:r>
              <w:rPr>
                <w:rFonts w:ascii="宋体" w:hAnsi="宋体" w:eastAsia="宋体" w:cs="宋体"/>
                <w:spacing w:val="5"/>
                <w:sz w:val="21"/>
                <w:szCs w:val="21"/>
              </w:rPr>
              <w:t>(15)排量(</w:t>
            </w:r>
            <w:r>
              <w:rPr>
                <w:rFonts w:ascii="宋体" w:hAnsi="宋体" w:eastAsia="宋体" w:cs="宋体"/>
                <w:sz w:val="21"/>
                <w:szCs w:val="21"/>
              </w:rPr>
              <w:t>ml</w:t>
            </w:r>
            <w:r>
              <w:rPr>
                <w:rFonts w:ascii="宋体" w:hAnsi="宋体" w:eastAsia="宋体" w:cs="宋体"/>
                <w:spacing w:val="5"/>
                <w:sz w:val="21"/>
                <w:szCs w:val="21"/>
              </w:rPr>
              <w:t>):≥199(</w:t>
            </w:r>
          </w:p>
          <w:p>
            <w:pPr>
              <w:keepNext w:val="0"/>
              <w:keepLines w:val="0"/>
              <w:pageBreakBefore w:val="0"/>
              <w:widowControl w:val="0"/>
              <w:kinsoku/>
              <w:wordWrap/>
              <w:overflowPunct/>
              <w:topLinePunct w:val="0"/>
              <w:autoSpaceDE/>
              <w:autoSpaceDN/>
              <w:bidi w:val="0"/>
              <w:adjustRightInd/>
              <w:snapToGrid/>
              <w:spacing w:before="46" w:line="280" w:lineRule="exact"/>
              <w:ind w:left="174"/>
              <w:textAlignment w:val="auto"/>
              <w:rPr>
                <w:rFonts w:ascii="宋体" w:hAnsi="宋体" w:eastAsia="宋体" w:cs="宋体"/>
                <w:sz w:val="21"/>
                <w:szCs w:val="21"/>
              </w:rPr>
            </w:pPr>
            <w:r>
              <w:rPr>
                <w:rFonts w:ascii="宋体" w:hAnsi="宋体" w:eastAsia="宋体" w:cs="宋体"/>
                <w:spacing w:val="2"/>
                <w:sz w:val="21"/>
                <w:szCs w:val="21"/>
              </w:rPr>
              <w:t>(16)燃油种类：汽油</w:t>
            </w:r>
          </w:p>
          <w:p>
            <w:pPr>
              <w:keepNext w:val="0"/>
              <w:keepLines w:val="0"/>
              <w:pageBreakBefore w:val="0"/>
              <w:widowControl w:val="0"/>
              <w:kinsoku/>
              <w:wordWrap/>
              <w:overflowPunct/>
              <w:topLinePunct w:val="0"/>
              <w:autoSpaceDE/>
              <w:autoSpaceDN/>
              <w:bidi w:val="0"/>
              <w:adjustRightInd/>
              <w:snapToGrid/>
              <w:spacing w:before="51" w:line="280" w:lineRule="exact"/>
              <w:ind w:left="174"/>
              <w:textAlignment w:val="auto"/>
              <w:rPr>
                <w:rFonts w:ascii="宋体" w:hAnsi="宋体" w:eastAsia="宋体" w:cs="宋体"/>
                <w:sz w:val="21"/>
                <w:szCs w:val="21"/>
              </w:rPr>
            </w:pPr>
            <w:r>
              <w:rPr>
                <w:rFonts w:ascii="宋体" w:hAnsi="宋体" w:eastAsia="宋体" w:cs="宋体"/>
                <w:spacing w:val="20"/>
                <w:sz w:val="21"/>
                <w:szCs w:val="21"/>
              </w:rPr>
              <w:t>(17)额定功率(</w:t>
            </w:r>
            <w:r>
              <w:rPr>
                <w:rFonts w:ascii="宋体" w:hAnsi="宋体" w:eastAsia="宋体" w:cs="宋体"/>
                <w:sz w:val="21"/>
                <w:szCs w:val="21"/>
              </w:rPr>
              <w:t>kw</w:t>
            </w:r>
            <w:r>
              <w:rPr>
                <w:rFonts w:ascii="宋体" w:hAnsi="宋体" w:eastAsia="宋体" w:cs="宋体"/>
                <w:spacing w:val="20"/>
                <w:sz w:val="21"/>
                <w:szCs w:val="21"/>
              </w:rPr>
              <w:t>):≥160</w:t>
            </w:r>
          </w:p>
          <w:p>
            <w:pPr>
              <w:keepNext w:val="0"/>
              <w:keepLines w:val="0"/>
              <w:pageBreakBefore w:val="0"/>
              <w:widowControl w:val="0"/>
              <w:kinsoku/>
              <w:wordWrap/>
              <w:overflowPunct/>
              <w:topLinePunct w:val="0"/>
              <w:autoSpaceDE/>
              <w:autoSpaceDN/>
              <w:bidi w:val="0"/>
              <w:adjustRightInd/>
              <w:snapToGrid/>
              <w:spacing w:before="71" w:line="280" w:lineRule="exact"/>
              <w:ind w:left="174"/>
              <w:textAlignment w:val="auto"/>
              <w:rPr>
                <w:rFonts w:ascii="宋体" w:hAnsi="宋体" w:eastAsia="宋体" w:cs="宋体"/>
                <w:sz w:val="21"/>
                <w:szCs w:val="21"/>
              </w:rPr>
            </w:pPr>
            <w:r>
              <w:rPr>
                <w:rFonts w:ascii="宋体" w:hAnsi="宋体" w:eastAsia="宋体" w:cs="宋体"/>
                <w:spacing w:val="2"/>
                <w:sz w:val="21"/>
                <w:szCs w:val="21"/>
              </w:rPr>
              <w:t>(18)▲变速器型式：≥9挡手自一体</w:t>
            </w:r>
          </w:p>
          <w:p>
            <w:pPr>
              <w:keepNext w:val="0"/>
              <w:keepLines w:val="0"/>
              <w:pageBreakBefore w:val="0"/>
              <w:widowControl w:val="0"/>
              <w:kinsoku/>
              <w:wordWrap/>
              <w:overflowPunct/>
              <w:topLinePunct w:val="0"/>
              <w:autoSpaceDE/>
              <w:autoSpaceDN/>
              <w:bidi w:val="0"/>
              <w:adjustRightInd/>
              <w:snapToGrid/>
              <w:spacing w:before="203" w:line="280" w:lineRule="exact"/>
              <w:ind w:left="124"/>
              <w:jc w:val="left"/>
              <w:textAlignment w:val="auto"/>
              <w:rPr>
                <w:rFonts w:ascii="宋体" w:hAnsi="宋体" w:eastAsia="宋体" w:cs="宋体"/>
                <w:spacing w:val="20"/>
                <w:sz w:val="21"/>
                <w:szCs w:val="21"/>
              </w:rPr>
            </w:pPr>
            <w:r>
              <w:rPr>
                <w:rFonts w:ascii="宋体" w:hAnsi="宋体" w:eastAsia="宋体" w:cs="宋体"/>
                <w:spacing w:val="20"/>
                <w:sz w:val="21"/>
                <w:szCs w:val="21"/>
              </w:rPr>
              <w:t>(19)油箱容量(L):≥80</w:t>
            </w:r>
          </w:p>
          <w:p>
            <w:pPr>
              <w:keepNext w:val="0"/>
              <w:keepLines w:val="0"/>
              <w:pageBreakBefore w:val="0"/>
              <w:widowControl w:val="0"/>
              <w:kinsoku/>
              <w:wordWrap/>
              <w:overflowPunct/>
              <w:topLinePunct w:val="0"/>
              <w:autoSpaceDE/>
              <w:autoSpaceDN/>
              <w:bidi w:val="0"/>
              <w:adjustRightInd/>
              <w:snapToGrid/>
              <w:spacing w:before="203" w:line="280" w:lineRule="exact"/>
              <w:ind w:left="124"/>
              <w:jc w:val="left"/>
              <w:textAlignment w:val="auto"/>
              <w:rPr>
                <w:rFonts w:ascii="宋体" w:hAnsi="宋体" w:eastAsia="宋体" w:cs="宋体"/>
                <w:spacing w:val="20"/>
                <w:sz w:val="21"/>
                <w:szCs w:val="21"/>
              </w:rPr>
            </w:pP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供应商需提供中华人民共和国工业和信息化部《道路机动车辆生产企业及产品公告》的公告企业证明（代理商投标的需提供上述厂家证明文件及授权文件）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585" w:type="dxa"/>
            <w:vMerge w:val="restart"/>
            <w:vAlign w:val="center"/>
          </w:tcPr>
          <w:p>
            <w:pPr>
              <w:keepNext w:val="0"/>
              <w:keepLines w:val="0"/>
              <w:pageBreakBefore w:val="0"/>
              <w:widowControl w:val="0"/>
              <w:kinsoku/>
              <w:wordWrap/>
              <w:overflowPunct/>
              <w:topLinePunct w:val="0"/>
              <w:autoSpaceDE/>
              <w:autoSpaceDN/>
              <w:bidi w:val="0"/>
              <w:adjustRightInd/>
              <w:snapToGrid/>
              <w:spacing w:before="257" w:line="280" w:lineRule="exact"/>
              <w:ind w:left="64"/>
              <w:jc w:val="center"/>
              <w:textAlignment w:val="auto"/>
              <w:rPr>
                <w:rFonts w:hint="eastAsia" w:ascii="宋体" w:hAnsi="宋体" w:eastAsia="宋体" w:cs="宋体"/>
                <w:spacing w:val="-4"/>
                <w:sz w:val="21"/>
                <w:szCs w:val="21"/>
                <w:lang w:val="en-US" w:eastAsia="zh-CN"/>
              </w:rPr>
            </w:pPr>
            <w:r>
              <w:rPr>
                <w:rFonts w:hint="eastAsia" w:ascii="宋体" w:hAnsi="宋体" w:cs="宋体"/>
                <w:spacing w:val="-4"/>
                <w:sz w:val="21"/>
                <w:szCs w:val="21"/>
                <w:lang w:val="en-US" w:eastAsia="zh-CN"/>
              </w:rPr>
              <w:t>2</w:t>
            </w:r>
          </w:p>
        </w:tc>
        <w:tc>
          <w:tcPr>
            <w:tcW w:w="753" w:type="dxa"/>
            <w:vMerge w:val="restart"/>
            <w:vAlign w:val="center"/>
          </w:tcPr>
          <w:p>
            <w:pPr>
              <w:keepNext w:val="0"/>
              <w:keepLines w:val="0"/>
              <w:pageBreakBefore w:val="0"/>
              <w:widowControl w:val="0"/>
              <w:kinsoku/>
              <w:wordWrap/>
              <w:overflowPunct/>
              <w:topLinePunct w:val="0"/>
              <w:autoSpaceDE/>
              <w:autoSpaceDN/>
              <w:bidi w:val="0"/>
              <w:adjustRightInd/>
              <w:snapToGrid/>
              <w:spacing w:before="73" w:line="280" w:lineRule="exact"/>
              <w:ind w:left="131" w:right="128"/>
              <w:jc w:val="center"/>
              <w:textAlignment w:val="auto"/>
              <w:rPr>
                <w:rFonts w:ascii="宋体" w:hAnsi="宋体" w:eastAsia="宋体" w:cs="宋体"/>
                <w:spacing w:val="4"/>
                <w:sz w:val="21"/>
                <w:szCs w:val="21"/>
              </w:rPr>
            </w:pPr>
            <w:r>
              <w:rPr>
                <w:rFonts w:ascii="宋体" w:hAnsi="宋体" w:eastAsia="宋体" w:cs="宋体"/>
                <w:spacing w:val="6"/>
                <w:sz w:val="21"/>
                <w:szCs w:val="21"/>
              </w:rPr>
              <w:t>现场</w:t>
            </w:r>
            <w:r>
              <w:rPr>
                <w:rFonts w:ascii="宋体" w:hAnsi="宋体" w:eastAsia="宋体" w:cs="宋体"/>
                <w:sz w:val="21"/>
                <w:szCs w:val="21"/>
              </w:rPr>
              <w:t xml:space="preserve"> </w:t>
            </w:r>
            <w:r>
              <w:rPr>
                <w:rFonts w:ascii="宋体" w:hAnsi="宋体" w:eastAsia="宋体" w:cs="宋体"/>
                <w:spacing w:val="4"/>
                <w:sz w:val="21"/>
                <w:szCs w:val="21"/>
              </w:rPr>
              <w:t>图像</w:t>
            </w:r>
            <w:r>
              <w:rPr>
                <w:rFonts w:ascii="宋体" w:hAnsi="宋体" w:eastAsia="宋体" w:cs="宋体"/>
                <w:sz w:val="21"/>
                <w:szCs w:val="21"/>
              </w:rPr>
              <w:t xml:space="preserve"> </w:t>
            </w:r>
            <w:r>
              <w:rPr>
                <w:rFonts w:ascii="宋体" w:hAnsi="宋体" w:eastAsia="宋体" w:cs="宋体"/>
                <w:spacing w:val="7"/>
                <w:sz w:val="21"/>
                <w:szCs w:val="21"/>
              </w:rPr>
              <w:t>无线</w:t>
            </w:r>
            <w:r>
              <w:rPr>
                <w:rFonts w:ascii="宋体" w:hAnsi="宋体" w:eastAsia="宋体" w:cs="宋体"/>
                <w:sz w:val="21"/>
                <w:szCs w:val="21"/>
              </w:rPr>
              <w:t xml:space="preserve"> </w:t>
            </w:r>
            <w:r>
              <w:rPr>
                <w:rFonts w:ascii="宋体" w:hAnsi="宋体" w:eastAsia="宋体" w:cs="宋体"/>
                <w:spacing w:val="-5"/>
                <w:sz w:val="21"/>
                <w:szCs w:val="21"/>
              </w:rPr>
              <w:t>数字</w:t>
            </w:r>
            <w:r>
              <w:rPr>
                <w:rFonts w:ascii="宋体" w:hAnsi="宋体" w:eastAsia="宋体" w:cs="宋体"/>
                <w:sz w:val="21"/>
                <w:szCs w:val="21"/>
              </w:rPr>
              <w:t xml:space="preserve"> </w:t>
            </w:r>
            <w:r>
              <w:rPr>
                <w:rFonts w:ascii="宋体" w:hAnsi="宋体" w:eastAsia="宋体" w:cs="宋体"/>
                <w:spacing w:val="-4"/>
                <w:sz w:val="21"/>
                <w:szCs w:val="21"/>
              </w:rPr>
              <w:t>传输</w:t>
            </w:r>
            <w:r>
              <w:rPr>
                <w:rFonts w:ascii="宋体" w:hAnsi="宋体" w:eastAsia="宋体" w:cs="宋体"/>
                <w:sz w:val="21"/>
                <w:szCs w:val="21"/>
              </w:rPr>
              <w:t xml:space="preserve"> </w:t>
            </w:r>
            <w:r>
              <w:rPr>
                <w:rFonts w:ascii="宋体" w:hAnsi="宋体" w:eastAsia="宋体" w:cs="宋体"/>
                <w:spacing w:val="4"/>
                <w:sz w:val="21"/>
                <w:szCs w:val="21"/>
              </w:rPr>
              <w:t>系统</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before="69" w:line="280" w:lineRule="exact"/>
              <w:ind w:left="175"/>
              <w:textAlignment w:val="auto"/>
              <w:rPr>
                <w:rFonts w:ascii="宋体" w:hAnsi="宋体" w:eastAsia="宋体" w:cs="宋体"/>
                <w:sz w:val="21"/>
                <w:szCs w:val="21"/>
              </w:rPr>
            </w:pPr>
            <w:r>
              <w:rPr>
                <w:rFonts w:ascii="宋体" w:hAnsi="宋体" w:eastAsia="宋体" w:cs="宋体"/>
                <w:spacing w:val="1"/>
                <w:sz w:val="21"/>
                <w:szCs w:val="21"/>
              </w:rPr>
              <w:t>▲4G硬盘</w:t>
            </w:r>
          </w:p>
          <w:p>
            <w:pPr>
              <w:keepNext w:val="0"/>
              <w:keepLines w:val="0"/>
              <w:pageBreakBefore w:val="0"/>
              <w:widowControl w:val="0"/>
              <w:kinsoku/>
              <w:wordWrap/>
              <w:overflowPunct/>
              <w:topLinePunct w:val="0"/>
              <w:autoSpaceDE/>
              <w:autoSpaceDN/>
              <w:bidi w:val="0"/>
              <w:adjustRightInd/>
              <w:snapToGrid/>
              <w:spacing w:before="204" w:line="280" w:lineRule="exact"/>
              <w:ind w:left="172"/>
              <w:jc w:val="center"/>
              <w:textAlignment w:val="auto"/>
              <w:rPr>
                <w:rFonts w:ascii="宋体" w:hAnsi="宋体" w:eastAsia="宋体" w:cs="宋体"/>
                <w:spacing w:val="3"/>
                <w:sz w:val="21"/>
                <w:szCs w:val="21"/>
              </w:rPr>
            </w:pPr>
            <w:r>
              <w:rPr>
                <w:rFonts w:ascii="宋体" w:hAnsi="宋体" w:eastAsia="宋体" w:cs="宋体"/>
                <w:spacing w:val="-3"/>
                <w:sz w:val="21"/>
                <w:szCs w:val="21"/>
              </w:rPr>
              <w:t>录像机</w:t>
            </w:r>
          </w:p>
        </w:tc>
        <w:tc>
          <w:tcPr>
            <w:tcW w:w="677" w:type="dxa"/>
            <w:vAlign w:val="center"/>
          </w:tcPr>
          <w:p>
            <w:pPr>
              <w:keepNext w:val="0"/>
              <w:keepLines w:val="0"/>
              <w:pageBreakBefore w:val="0"/>
              <w:widowControl w:val="0"/>
              <w:kinsoku/>
              <w:wordWrap/>
              <w:overflowPunct/>
              <w:topLinePunct w:val="0"/>
              <w:autoSpaceDE/>
              <w:autoSpaceDN/>
              <w:bidi w:val="0"/>
              <w:adjustRightInd/>
              <w:snapToGrid/>
              <w:spacing w:before="204" w:line="280" w:lineRule="exact"/>
              <w:ind w:left="142"/>
              <w:jc w:val="center"/>
              <w:textAlignment w:val="auto"/>
              <w:rPr>
                <w:rFonts w:ascii="宋体" w:hAnsi="宋体" w:eastAsia="宋体" w:cs="宋体"/>
                <w:spacing w:val="7"/>
                <w:sz w:val="21"/>
                <w:szCs w:val="21"/>
              </w:rPr>
            </w:pPr>
            <w:r>
              <w:rPr>
                <w:rFonts w:ascii="宋体" w:hAnsi="宋体" w:eastAsia="宋体" w:cs="宋体"/>
                <w:spacing w:val="8"/>
                <w:sz w:val="21"/>
                <w:szCs w:val="21"/>
              </w:rPr>
              <w:t>1台</w:t>
            </w:r>
          </w:p>
        </w:tc>
        <w:tc>
          <w:tcPr>
            <w:tcW w:w="5639" w:type="dxa"/>
            <w:vAlign w:val="center"/>
          </w:tcPr>
          <w:p>
            <w:pPr>
              <w:keepNext w:val="0"/>
              <w:keepLines w:val="0"/>
              <w:pageBreakBefore w:val="0"/>
              <w:widowControl w:val="0"/>
              <w:kinsoku/>
              <w:wordWrap/>
              <w:overflowPunct/>
              <w:topLinePunct w:val="0"/>
              <w:autoSpaceDE/>
              <w:autoSpaceDN/>
              <w:bidi w:val="0"/>
              <w:adjustRightInd/>
              <w:snapToGrid/>
              <w:spacing w:before="60" w:line="280" w:lineRule="exact"/>
              <w:ind w:left="174" w:right="33"/>
              <w:jc w:val="both"/>
              <w:textAlignment w:val="auto"/>
              <w:rPr>
                <w:rFonts w:ascii="宋体" w:hAnsi="宋体" w:eastAsia="宋体" w:cs="宋体"/>
                <w:sz w:val="21"/>
                <w:szCs w:val="21"/>
              </w:rPr>
            </w:pPr>
            <w:r>
              <w:rPr>
                <w:rFonts w:ascii="宋体" w:hAnsi="宋体" w:eastAsia="宋体" w:cs="宋体"/>
                <w:spacing w:val="15"/>
                <w:sz w:val="21"/>
                <w:szCs w:val="21"/>
              </w:rPr>
              <w:t>嵌入式</w:t>
            </w:r>
            <w:r>
              <w:rPr>
                <w:rFonts w:ascii="宋体" w:hAnsi="宋体" w:eastAsia="宋体" w:cs="宋体"/>
                <w:sz w:val="21"/>
                <w:szCs w:val="21"/>
              </w:rPr>
              <w:t>Linux</w:t>
            </w:r>
            <w:r>
              <w:rPr>
                <w:rFonts w:ascii="宋体" w:hAnsi="宋体" w:eastAsia="宋体" w:cs="宋体"/>
                <w:spacing w:val="15"/>
                <w:sz w:val="21"/>
                <w:szCs w:val="21"/>
              </w:rPr>
              <w:t>操作系统，视频压缩标准H.264</w:t>
            </w:r>
            <w:r>
              <w:rPr>
                <w:rFonts w:ascii="宋体" w:hAnsi="宋体" w:eastAsia="宋体" w:cs="宋体"/>
                <w:spacing w:val="43"/>
                <w:sz w:val="21"/>
                <w:szCs w:val="21"/>
              </w:rPr>
              <w:t xml:space="preserve"> </w:t>
            </w:r>
            <w:r>
              <w:rPr>
                <w:rFonts w:ascii="宋体" w:hAnsi="宋体" w:eastAsia="宋体" w:cs="宋体"/>
                <w:spacing w:val="15"/>
                <w:sz w:val="21"/>
                <w:szCs w:val="21"/>
              </w:rPr>
              <w:t>,4G天</w:t>
            </w:r>
            <w:r>
              <w:rPr>
                <w:rFonts w:ascii="宋体" w:hAnsi="宋体" w:eastAsia="宋体" w:cs="宋体"/>
                <w:sz w:val="21"/>
                <w:szCs w:val="21"/>
              </w:rPr>
              <w:t xml:space="preserve"> </w:t>
            </w:r>
            <w:r>
              <w:rPr>
                <w:rFonts w:ascii="宋体" w:hAnsi="宋体" w:eastAsia="宋体" w:cs="宋体"/>
                <w:spacing w:val="8"/>
                <w:sz w:val="21"/>
                <w:szCs w:val="21"/>
              </w:rPr>
              <w:t>线1个，卫星定位：支持</w:t>
            </w:r>
            <w:r>
              <w:rPr>
                <w:rFonts w:ascii="宋体" w:hAnsi="宋体" w:eastAsia="宋体" w:cs="宋体"/>
                <w:sz w:val="21"/>
                <w:szCs w:val="21"/>
              </w:rPr>
              <w:t>GPS</w:t>
            </w:r>
            <w:r>
              <w:rPr>
                <w:rFonts w:ascii="宋体" w:hAnsi="宋体" w:eastAsia="宋体" w:cs="宋体"/>
                <w:spacing w:val="8"/>
                <w:sz w:val="21"/>
                <w:szCs w:val="21"/>
              </w:rPr>
              <w:t>定位，天线接口：</w:t>
            </w:r>
            <w:r>
              <w:rPr>
                <w:rFonts w:ascii="宋体" w:hAnsi="宋体" w:eastAsia="宋体" w:cs="宋体"/>
                <w:sz w:val="21"/>
                <w:szCs w:val="21"/>
              </w:rPr>
              <w:t>GPS</w:t>
            </w:r>
            <w:r>
              <w:rPr>
                <w:rFonts w:ascii="宋体" w:hAnsi="宋体" w:eastAsia="宋体" w:cs="宋体"/>
                <w:spacing w:val="8"/>
                <w:sz w:val="21"/>
                <w:szCs w:val="21"/>
              </w:rPr>
              <w:t>/北</w:t>
            </w:r>
            <w:r>
              <w:rPr>
                <w:rFonts w:ascii="宋体" w:hAnsi="宋体" w:eastAsia="宋体" w:cs="宋体"/>
                <w:spacing w:val="11"/>
                <w:sz w:val="21"/>
                <w:szCs w:val="21"/>
              </w:rPr>
              <w:t xml:space="preserve"> </w:t>
            </w:r>
            <w:r>
              <w:rPr>
                <w:rFonts w:ascii="宋体" w:hAnsi="宋体" w:eastAsia="宋体" w:cs="宋体"/>
                <w:spacing w:val="10"/>
                <w:sz w:val="21"/>
                <w:szCs w:val="21"/>
              </w:rPr>
              <w:t>斗天线1个，</w:t>
            </w:r>
            <w:r>
              <w:rPr>
                <w:rFonts w:ascii="宋体" w:hAnsi="宋体" w:eastAsia="宋体" w:cs="宋体"/>
                <w:sz w:val="21"/>
                <w:szCs w:val="21"/>
              </w:rPr>
              <w:t>RJ</w:t>
            </w:r>
            <w:r>
              <w:rPr>
                <w:rFonts w:ascii="宋体" w:hAnsi="宋体" w:eastAsia="宋体" w:cs="宋体"/>
                <w:spacing w:val="10"/>
                <w:sz w:val="21"/>
                <w:szCs w:val="21"/>
              </w:rPr>
              <w:t>45接口，后置千兆，配≥1T硬盘</w:t>
            </w:r>
            <w:r>
              <w:rPr>
                <w:rFonts w:ascii="宋体" w:hAnsi="宋体" w:eastAsia="宋体" w:cs="宋体"/>
                <w:spacing w:val="9"/>
                <w:sz w:val="21"/>
                <w:szCs w:val="21"/>
              </w:rPr>
              <w:t>；</w:t>
            </w:r>
          </w:p>
          <w:p>
            <w:pPr>
              <w:keepNext w:val="0"/>
              <w:keepLines w:val="0"/>
              <w:pageBreakBefore w:val="0"/>
              <w:widowControl w:val="0"/>
              <w:kinsoku/>
              <w:wordWrap/>
              <w:overflowPunct/>
              <w:topLinePunct w:val="0"/>
              <w:autoSpaceDE/>
              <w:autoSpaceDN/>
              <w:bidi w:val="0"/>
              <w:adjustRightInd/>
              <w:snapToGrid/>
              <w:spacing w:before="73" w:line="280" w:lineRule="exact"/>
              <w:ind w:left="174"/>
              <w:textAlignment w:val="auto"/>
              <w:rPr>
                <w:rFonts w:ascii="宋体" w:hAnsi="宋体" w:eastAsia="宋体" w:cs="宋体"/>
                <w:sz w:val="20"/>
                <w:szCs w:val="20"/>
              </w:rPr>
            </w:pPr>
            <w:r>
              <w:rPr>
                <w:rFonts w:hint="eastAsia" w:ascii="宋体" w:hAnsi="宋体" w:cs="宋体"/>
                <w:i w:val="0"/>
                <w:iCs w:val="0"/>
                <w:color w:val="000000"/>
                <w:kern w:val="0"/>
                <w:sz w:val="20"/>
                <w:szCs w:val="20"/>
                <w:u w:val="none"/>
                <w:lang w:val="en-US" w:eastAsia="zh-CN" w:bidi="ar"/>
              </w:rPr>
              <w:t>●</w:t>
            </w:r>
            <w:r>
              <w:rPr>
                <w:rFonts w:ascii="宋体" w:hAnsi="宋体" w:eastAsia="宋体" w:cs="宋体"/>
                <w:spacing w:val="9"/>
                <w:sz w:val="20"/>
                <w:szCs w:val="20"/>
              </w:rPr>
              <w:t>1.投标人提供《电子围栏与定位管理》类的软件著作权</w:t>
            </w:r>
            <w:r>
              <w:rPr>
                <w:rFonts w:ascii="宋体" w:hAnsi="宋体" w:eastAsia="宋体" w:cs="宋体"/>
                <w:spacing w:val="18"/>
                <w:sz w:val="20"/>
                <w:szCs w:val="20"/>
              </w:rPr>
              <w:t xml:space="preserve"> </w:t>
            </w:r>
            <w:r>
              <w:rPr>
                <w:rFonts w:ascii="宋体" w:hAnsi="宋体" w:eastAsia="宋体" w:cs="宋体"/>
                <w:spacing w:val="20"/>
                <w:sz w:val="20"/>
                <w:szCs w:val="20"/>
              </w:rPr>
              <w:t>复印件并加盖公章；</w:t>
            </w:r>
          </w:p>
          <w:p>
            <w:pPr>
              <w:keepNext w:val="0"/>
              <w:keepLines w:val="0"/>
              <w:pageBreakBefore w:val="0"/>
              <w:widowControl w:val="0"/>
              <w:kinsoku/>
              <w:wordWrap/>
              <w:overflowPunct/>
              <w:topLinePunct w:val="0"/>
              <w:autoSpaceDE/>
              <w:autoSpaceDN/>
              <w:bidi w:val="0"/>
              <w:adjustRightInd/>
              <w:snapToGrid/>
              <w:spacing w:before="203" w:line="280" w:lineRule="exact"/>
              <w:ind w:left="124"/>
              <w:jc w:val="left"/>
              <w:textAlignment w:val="auto"/>
              <w:rPr>
                <w:rFonts w:ascii="宋体" w:hAnsi="宋体" w:eastAsia="宋体" w:cs="宋体"/>
                <w:spacing w:val="2"/>
                <w:sz w:val="21"/>
                <w:szCs w:val="21"/>
              </w:rPr>
            </w:pPr>
            <w:r>
              <w:rPr>
                <w:rFonts w:hint="eastAsia" w:ascii="宋体" w:hAnsi="宋体" w:cs="宋体"/>
                <w:i w:val="0"/>
                <w:iCs w:val="0"/>
                <w:color w:val="000000"/>
                <w:kern w:val="0"/>
                <w:sz w:val="20"/>
                <w:szCs w:val="20"/>
                <w:u w:val="none"/>
                <w:lang w:val="en-US" w:eastAsia="zh-CN" w:bidi="ar"/>
              </w:rPr>
              <w:t>●</w:t>
            </w:r>
            <w:r>
              <w:rPr>
                <w:rFonts w:ascii="宋体" w:hAnsi="宋体" w:eastAsia="宋体" w:cs="宋体"/>
                <w:spacing w:val="-1"/>
                <w:sz w:val="21"/>
                <w:szCs w:val="21"/>
              </w:rPr>
              <w:t>2.投标人提供《车辆管理系统》类的软件著作权复印件</w:t>
            </w:r>
            <w:r>
              <w:rPr>
                <w:rFonts w:ascii="宋体" w:hAnsi="宋体" w:eastAsia="宋体" w:cs="宋体"/>
                <w:spacing w:val="13"/>
                <w:sz w:val="21"/>
                <w:szCs w:val="21"/>
              </w:rPr>
              <w:t xml:space="preserve"> </w:t>
            </w:r>
            <w:r>
              <w:rPr>
                <w:rFonts w:ascii="宋体" w:hAnsi="宋体" w:eastAsia="宋体" w:cs="宋体"/>
                <w:spacing w:val="17"/>
                <w:sz w:val="21"/>
                <w:szCs w:val="21"/>
              </w:rPr>
              <w:t>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spacing w:before="257" w:line="280" w:lineRule="exact"/>
              <w:ind w:left="64"/>
              <w:jc w:val="center"/>
              <w:textAlignment w:val="auto"/>
              <w:rPr>
                <w:rFonts w:ascii="宋体" w:hAnsi="宋体" w:eastAsia="宋体" w:cs="宋体"/>
                <w:spacing w:val="-4"/>
                <w:sz w:val="21"/>
                <w:szCs w:val="21"/>
              </w:rPr>
            </w:pPr>
          </w:p>
        </w:tc>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before="73" w:line="280" w:lineRule="exact"/>
              <w:ind w:left="131" w:right="128"/>
              <w:jc w:val="center"/>
              <w:textAlignment w:val="auto"/>
              <w:rPr>
                <w:rFonts w:ascii="宋体" w:hAnsi="宋体" w:eastAsia="宋体" w:cs="宋体"/>
                <w:spacing w:val="4"/>
                <w:sz w:val="21"/>
                <w:szCs w:val="21"/>
              </w:rPr>
            </w:pPr>
          </w:p>
        </w:tc>
        <w:tc>
          <w:tcPr>
            <w:tcW w:w="1303" w:type="dxa"/>
            <w:vAlign w:val="center"/>
          </w:tcPr>
          <w:p>
            <w:pPr>
              <w:keepNext w:val="0"/>
              <w:keepLines w:val="0"/>
              <w:pageBreakBefore w:val="0"/>
              <w:widowControl w:val="0"/>
              <w:kinsoku/>
              <w:wordWrap/>
              <w:overflowPunct/>
              <w:topLinePunct w:val="0"/>
              <w:autoSpaceDE/>
              <w:autoSpaceDN/>
              <w:bidi w:val="0"/>
              <w:adjustRightInd/>
              <w:snapToGrid/>
              <w:spacing w:before="204" w:line="280" w:lineRule="exact"/>
              <w:ind w:left="172"/>
              <w:jc w:val="center"/>
              <w:textAlignment w:val="auto"/>
              <w:rPr>
                <w:rFonts w:ascii="宋体" w:hAnsi="宋体" w:eastAsia="宋体" w:cs="宋体"/>
                <w:spacing w:val="3"/>
                <w:sz w:val="21"/>
                <w:szCs w:val="21"/>
              </w:rPr>
            </w:pPr>
            <w:r>
              <w:rPr>
                <w:rFonts w:ascii="宋体" w:hAnsi="宋体" w:eastAsia="宋体" w:cs="宋体"/>
                <w:spacing w:val="-3"/>
                <w:sz w:val="21"/>
                <w:szCs w:val="21"/>
              </w:rPr>
              <w:t>枪机摄像</w:t>
            </w:r>
            <w:r>
              <w:rPr>
                <w:rFonts w:ascii="宋体" w:hAnsi="宋体" w:eastAsia="宋体" w:cs="宋体"/>
                <w:spacing w:val="1"/>
                <w:sz w:val="21"/>
                <w:szCs w:val="21"/>
              </w:rPr>
              <w:t xml:space="preserve"> </w:t>
            </w:r>
            <w:r>
              <w:rPr>
                <w:rFonts w:ascii="宋体" w:hAnsi="宋体" w:eastAsia="宋体" w:cs="宋体"/>
                <w:sz w:val="21"/>
                <w:szCs w:val="21"/>
              </w:rPr>
              <w:t>机</w:t>
            </w:r>
          </w:p>
        </w:tc>
        <w:tc>
          <w:tcPr>
            <w:tcW w:w="677" w:type="dxa"/>
            <w:vAlign w:val="center"/>
          </w:tcPr>
          <w:p>
            <w:pPr>
              <w:keepNext w:val="0"/>
              <w:keepLines w:val="0"/>
              <w:pageBreakBefore w:val="0"/>
              <w:widowControl w:val="0"/>
              <w:kinsoku/>
              <w:wordWrap/>
              <w:overflowPunct/>
              <w:topLinePunct w:val="0"/>
              <w:autoSpaceDE/>
              <w:autoSpaceDN/>
              <w:bidi w:val="0"/>
              <w:adjustRightInd/>
              <w:snapToGrid/>
              <w:spacing w:before="204" w:line="280" w:lineRule="exact"/>
              <w:ind w:left="142"/>
              <w:jc w:val="center"/>
              <w:textAlignment w:val="auto"/>
              <w:rPr>
                <w:rFonts w:ascii="宋体" w:hAnsi="宋体" w:eastAsia="宋体" w:cs="宋体"/>
                <w:spacing w:val="7"/>
                <w:sz w:val="21"/>
                <w:szCs w:val="21"/>
              </w:rPr>
            </w:pPr>
            <w:r>
              <w:rPr>
                <w:rFonts w:ascii="宋体" w:hAnsi="宋体" w:eastAsia="宋体" w:cs="宋体"/>
                <w:spacing w:val="-12"/>
                <w:sz w:val="21"/>
                <w:szCs w:val="21"/>
              </w:rPr>
              <w:t>1</w:t>
            </w:r>
            <w:r>
              <w:rPr>
                <w:rFonts w:ascii="宋体" w:hAnsi="宋体" w:eastAsia="宋体" w:cs="宋体"/>
                <w:spacing w:val="-36"/>
                <w:sz w:val="21"/>
                <w:szCs w:val="21"/>
              </w:rPr>
              <w:t xml:space="preserve"> </w:t>
            </w:r>
            <w:r>
              <w:rPr>
                <w:rFonts w:ascii="宋体" w:hAnsi="宋体" w:eastAsia="宋体" w:cs="宋体"/>
                <w:spacing w:val="-12"/>
                <w:sz w:val="21"/>
                <w:szCs w:val="21"/>
              </w:rPr>
              <w:t>只</w:t>
            </w:r>
          </w:p>
        </w:tc>
        <w:tc>
          <w:tcPr>
            <w:tcW w:w="5639" w:type="dxa"/>
            <w:vAlign w:val="center"/>
          </w:tcPr>
          <w:p>
            <w:pPr>
              <w:keepNext w:val="0"/>
              <w:keepLines w:val="0"/>
              <w:pageBreakBefore w:val="0"/>
              <w:widowControl w:val="0"/>
              <w:kinsoku/>
              <w:wordWrap/>
              <w:overflowPunct/>
              <w:topLinePunct w:val="0"/>
              <w:autoSpaceDE/>
              <w:autoSpaceDN/>
              <w:bidi w:val="0"/>
              <w:adjustRightInd/>
              <w:snapToGrid/>
              <w:spacing w:before="203" w:line="280" w:lineRule="exact"/>
              <w:ind w:left="124"/>
              <w:jc w:val="left"/>
              <w:textAlignment w:val="auto"/>
              <w:rPr>
                <w:rFonts w:ascii="宋体" w:hAnsi="宋体" w:eastAsia="宋体" w:cs="宋体"/>
                <w:spacing w:val="2"/>
                <w:sz w:val="21"/>
                <w:szCs w:val="21"/>
              </w:rPr>
            </w:pPr>
            <w:r>
              <w:rPr>
                <w:rFonts w:ascii="宋体" w:hAnsi="宋体" w:eastAsia="宋体" w:cs="宋体"/>
                <w:spacing w:val="6"/>
                <w:sz w:val="21"/>
                <w:szCs w:val="21"/>
              </w:rPr>
              <w:t>≥200万数字高清彩色枪20倍变焦0.01</w:t>
            </w:r>
            <w:r>
              <w:rPr>
                <w:rFonts w:ascii="宋体" w:hAnsi="宋体" w:eastAsia="宋体" w:cs="宋体"/>
                <w:sz w:val="21"/>
                <w:szCs w:val="21"/>
              </w:rPr>
              <w:t>Lux</w:t>
            </w:r>
            <w:r>
              <w:rPr>
                <w:rFonts w:ascii="宋体" w:hAnsi="宋体" w:eastAsia="宋体" w:cs="宋体"/>
                <w:spacing w:val="6"/>
                <w:sz w:val="21"/>
                <w:szCs w:val="21"/>
              </w:rPr>
              <w:t>信噪比大于</w:t>
            </w:r>
            <w:r>
              <w:rPr>
                <w:rFonts w:ascii="宋体" w:hAnsi="宋体" w:eastAsia="宋体" w:cs="宋体"/>
                <w:spacing w:val="5"/>
                <w:sz w:val="21"/>
                <w:szCs w:val="21"/>
              </w:rPr>
              <w:t xml:space="preserve"> </w:t>
            </w:r>
            <w:r>
              <w:rPr>
                <w:rFonts w:ascii="宋体" w:hAnsi="宋体" w:eastAsia="宋体" w:cs="宋体"/>
                <w:sz w:val="21"/>
                <w:szCs w:val="21"/>
              </w:rPr>
              <w:t>48dBDC12V/PoE,(12V——≤</w:t>
            </w:r>
            <w:r>
              <w:rPr>
                <w:rFonts w:ascii="宋体" w:hAnsi="宋体" w:eastAsia="宋体" w:cs="宋体"/>
                <w:spacing w:val="-1"/>
                <w:sz w:val="21"/>
                <w:szCs w:val="21"/>
              </w:rPr>
              <w:t>20W)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spacing w:before="257" w:line="280" w:lineRule="exact"/>
              <w:ind w:left="64"/>
              <w:jc w:val="center"/>
              <w:textAlignment w:val="auto"/>
              <w:rPr>
                <w:rFonts w:ascii="宋体" w:hAnsi="宋体" w:eastAsia="宋体" w:cs="宋体"/>
                <w:spacing w:val="-4"/>
                <w:sz w:val="21"/>
                <w:szCs w:val="21"/>
              </w:rPr>
            </w:pPr>
          </w:p>
        </w:tc>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before="73" w:line="280" w:lineRule="exact"/>
              <w:ind w:left="131" w:right="128"/>
              <w:jc w:val="center"/>
              <w:textAlignment w:val="auto"/>
              <w:rPr>
                <w:rFonts w:ascii="宋体" w:hAnsi="宋体" w:eastAsia="宋体" w:cs="宋体"/>
                <w:spacing w:val="4"/>
                <w:sz w:val="21"/>
                <w:szCs w:val="21"/>
              </w:rPr>
            </w:pPr>
          </w:p>
        </w:tc>
        <w:tc>
          <w:tcPr>
            <w:tcW w:w="1303" w:type="dxa"/>
            <w:vAlign w:val="center"/>
          </w:tcPr>
          <w:p>
            <w:pPr>
              <w:keepNext w:val="0"/>
              <w:keepLines w:val="0"/>
              <w:pageBreakBefore w:val="0"/>
              <w:widowControl w:val="0"/>
              <w:kinsoku/>
              <w:wordWrap/>
              <w:overflowPunct/>
              <w:topLinePunct w:val="0"/>
              <w:autoSpaceDE/>
              <w:autoSpaceDN/>
              <w:bidi w:val="0"/>
              <w:adjustRightInd/>
              <w:snapToGrid/>
              <w:spacing w:before="204" w:line="280" w:lineRule="exact"/>
              <w:ind w:left="172"/>
              <w:jc w:val="center"/>
              <w:textAlignment w:val="auto"/>
              <w:rPr>
                <w:rFonts w:ascii="宋体" w:hAnsi="宋体" w:eastAsia="宋体" w:cs="宋体"/>
                <w:spacing w:val="3"/>
                <w:sz w:val="21"/>
                <w:szCs w:val="21"/>
              </w:rPr>
            </w:pPr>
            <w:r>
              <w:rPr>
                <w:rFonts w:ascii="宋体" w:hAnsi="宋体" w:eastAsia="宋体" w:cs="宋体"/>
                <w:spacing w:val="-3"/>
                <w:sz w:val="21"/>
                <w:szCs w:val="21"/>
              </w:rPr>
              <w:t>三维监控</w:t>
            </w:r>
            <w:r>
              <w:rPr>
                <w:rFonts w:ascii="宋体" w:hAnsi="宋体" w:eastAsia="宋体" w:cs="宋体"/>
                <w:spacing w:val="2"/>
                <w:sz w:val="21"/>
                <w:szCs w:val="21"/>
              </w:rPr>
              <w:t xml:space="preserve"> </w:t>
            </w:r>
            <w:r>
              <w:rPr>
                <w:rFonts w:ascii="宋体" w:hAnsi="宋体" w:eastAsia="宋体" w:cs="宋体"/>
                <w:spacing w:val="-2"/>
                <w:sz w:val="21"/>
                <w:szCs w:val="21"/>
              </w:rPr>
              <w:t>控制遥杆</w:t>
            </w:r>
          </w:p>
        </w:tc>
        <w:tc>
          <w:tcPr>
            <w:tcW w:w="677" w:type="dxa"/>
            <w:vAlign w:val="center"/>
          </w:tcPr>
          <w:p>
            <w:pPr>
              <w:keepNext w:val="0"/>
              <w:keepLines w:val="0"/>
              <w:pageBreakBefore w:val="0"/>
              <w:widowControl w:val="0"/>
              <w:kinsoku/>
              <w:wordWrap/>
              <w:overflowPunct/>
              <w:topLinePunct w:val="0"/>
              <w:autoSpaceDE/>
              <w:autoSpaceDN/>
              <w:bidi w:val="0"/>
              <w:adjustRightInd/>
              <w:snapToGrid/>
              <w:spacing w:before="204" w:line="280" w:lineRule="exact"/>
              <w:ind w:left="142"/>
              <w:jc w:val="center"/>
              <w:textAlignment w:val="auto"/>
              <w:rPr>
                <w:rFonts w:ascii="宋体" w:hAnsi="宋体" w:eastAsia="宋体" w:cs="宋体"/>
                <w:spacing w:val="7"/>
                <w:sz w:val="21"/>
                <w:szCs w:val="21"/>
              </w:rPr>
            </w:pPr>
            <w:r>
              <w:rPr>
                <w:rFonts w:ascii="宋体" w:hAnsi="宋体" w:eastAsia="宋体" w:cs="宋体"/>
                <w:spacing w:val="8"/>
                <w:sz w:val="21"/>
                <w:szCs w:val="21"/>
              </w:rPr>
              <w:t>1台</w:t>
            </w:r>
          </w:p>
        </w:tc>
        <w:tc>
          <w:tcPr>
            <w:tcW w:w="5639" w:type="dxa"/>
            <w:vAlign w:val="center"/>
          </w:tcPr>
          <w:p>
            <w:pPr>
              <w:keepNext w:val="0"/>
              <w:keepLines w:val="0"/>
              <w:pageBreakBefore w:val="0"/>
              <w:widowControl w:val="0"/>
              <w:kinsoku/>
              <w:wordWrap/>
              <w:overflowPunct/>
              <w:topLinePunct w:val="0"/>
              <w:autoSpaceDE/>
              <w:autoSpaceDN/>
              <w:bidi w:val="0"/>
              <w:adjustRightInd/>
              <w:snapToGrid/>
              <w:spacing w:before="203" w:line="280" w:lineRule="exact"/>
              <w:ind w:left="124"/>
              <w:jc w:val="left"/>
              <w:textAlignment w:val="auto"/>
              <w:rPr>
                <w:rFonts w:ascii="宋体" w:hAnsi="宋体" w:eastAsia="宋体" w:cs="宋体"/>
                <w:spacing w:val="2"/>
                <w:sz w:val="21"/>
                <w:szCs w:val="21"/>
              </w:rPr>
            </w:pPr>
            <w:r>
              <w:rPr>
                <w:rFonts w:ascii="宋体" w:hAnsi="宋体" w:eastAsia="宋体" w:cs="宋体"/>
                <w:spacing w:val="-1"/>
                <w:sz w:val="21"/>
                <w:szCs w:val="21"/>
              </w:rPr>
              <w:t>三维监控控制遥杆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585" w:type="dxa"/>
            <w:vAlign w:val="top"/>
          </w:tcPr>
          <w:p>
            <w:pPr>
              <w:keepNext w:val="0"/>
              <w:keepLines w:val="0"/>
              <w:pageBreakBefore w:val="0"/>
              <w:widowControl w:val="0"/>
              <w:kinsoku/>
              <w:wordWrap/>
              <w:overflowPunct/>
              <w:topLinePunct w:val="0"/>
              <w:autoSpaceDE/>
              <w:autoSpaceDN/>
              <w:bidi w:val="0"/>
              <w:adjustRightInd/>
              <w:snapToGrid/>
              <w:spacing w:before="68" w:line="280" w:lineRule="exact"/>
              <w:ind w:left="95" w:leftChars="0"/>
              <w:textAlignment w:val="auto"/>
              <w:rPr>
                <w:rFonts w:ascii="宋体" w:hAnsi="宋体" w:eastAsia="宋体" w:cs="宋体"/>
                <w:kern w:val="2"/>
                <w:sz w:val="21"/>
                <w:szCs w:val="21"/>
                <w:lang w:val="en-US" w:eastAsia="zh-CN" w:bidi="ar-SA"/>
              </w:rPr>
            </w:pPr>
            <w:r>
              <w:rPr>
                <w:rFonts w:ascii="宋体" w:hAnsi="宋体" w:eastAsia="宋体" w:cs="宋体"/>
                <w:sz w:val="21"/>
                <w:szCs w:val="21"/>
              </w:rPr>
              <w:t>3</w:t>
            </w:r>
          </w:p>
        </w:tc>
        <w:tc>
          <w:tcPr>
            <w:tcW w:w="753" w:type="dxa"/>
            <w:vAlign w:val="top"/>
          </w:tcPr>
          <w:p>
            <w:pPr>
              <w:keepNext w:val="0"/>
              <w:keepLines w:val="0"/>
              <w:pageBreakBefore w:val="0"/>
              <w:widowControl w:val="0"/>
              <w:kinsoku/>
              <w:wordWrap/>
              <w:overflowPunct/>
              <w:topLinePunct w:val="0"/>
              <w:autoSpaceDE/>
              <w:autoSpaceDN/>
              <w:bidi w:val="0"/>
              <w:adjustRightInd/>
              <w:snapToGrid/>
              <w:spacing w:before="69" w:line="280" w:lineRule="exact"/>
              <w:ind w:left="131" w:leftChars="0" w:right="128" w:rightChars="0"/>
              <w:jc w:val="both"/>
              <w:textAlignment w:val="auto"/>
              <w:rPr>
                <w:rFonts w:ascii="宋体" w:hAnsi="宋体" w:eastAsia="宋体" w:cs="宋体"/>
                <w:kern w:val="2"/>
                <w:sz w:val="21"/>
                <w:szCs w:val="21"/>
                <w:lang w:val="en-US" w:eastAsia="zh-CN" w:bidi="ar-SA"/>
              </w:rPr>
            </w:pPr>
            <w:r>
              <w:rPr>
                <w:rFonts w:ascii="宋体" w:hAnsi="宋体" w:eastAsia="宋体" w:cs="宋体"/>
                <w:spacing w:val="-5"/>
                <w:sz w:val="21"/>
                <w:szCs w:val="21"/>
              </w:rPr>
              <w:t>勤务</w:t>
            </w:r>
            <w:r>
              <w:rPr>
                <w:rFonts w:ascii="宋体" w:hAnsi="宋体" w:eastAsia="宋体" w:cs="宋体"/>
                <w:sz w:val="21"/>
                <w:szCs w:val="21"/>
              </w:rPr>
              <w:t xml:space="preserve"> </w:t>
            </w:r>
            <w:r>
              <w:rPr>
                <w:rFonts w:ascii="宋体" w:hAnsi="宋体" w:eastAsia="宋体" w:cs="宋体"/>
                <w:spacing w:val="-5"/>
                <w:sz w:val="21"/>
                <w:szCs w:val="21"/>
              </w:rPr>
              <w:t>保障</w:t>
            </w:r>
            <w:r>
              <w:rPr>
                <w:rFonts w:ascii="宋体" w:hAnsi="宋体" w:eastAsia="宋体" w:cs="宋体"/>
                <w:sz w:val="21"/>
                <w:szCs w:val="21"/>
              </w:rPr>
              <w:t xml:space="preserve"> </w:t>
            </w:r>
            <w:r>
              <w:rPr>
                <w:rFonts w:ascii="宋体" w:hAnsi="宋体" w:eastAsia="宋体" w:cs="宋体"/>
                <w:spacing w:val="4"/>
                <w:sz w:val="21"/>
                <w:szCs w:val="21"/>
              </w:rPr>
              <w:t>系统</w:t>
            </w:r>
          </w:p>
        </w:tc>
        <w:tc>
          <w:tcPr>
            <w:tcW w:w="1303" w:type="dxa"/>
            <w:vAlign w:val="top"/>
          </w:tcPr>
          <w:p>
            <w:pPr>
              <w:keepNext w:val="0"/>
              <w:keepLines w:val="0"/>
              <w:pageBreakBefore w:val="0"/>
              <w:widowControl w:val="0"/>
              <w:kinsoku/>
              <w:wordWrap/>
              <w:overflowPunct/>
              <w:topLinePunct w:val="0"/>
              <w:autoSpaceDE/>
              <w:autoSpaceDN/>
              <w:bidi w:val="0"/>
              <w:adjustRightInd/>
              <w:snapToGrid/>
              <w:spacing w:before="209" w:line="280" w:lineRule="exact"/>
              <w:ind w:left="492" w:leftChars="0" w:right="164" w:rightChars="0" w:hanging="320" w:firstLineChars="0"/>
              <w:textAlignment w:val="auto"/>
              <w:rPr>
                <w:rFonts w:ascii="宋体" w:hAnsi="宋体" w:eastAsia="宋体" w:cs="宋体"/>
                <w:kern w:val="2"/>
                <w:sz w:val="21"/>
                <w:szCs w:val="21"/>
                <w:lang w:val="en-US" w:eastAsia="zh-CN" w:bidi="ar-SA"/>
              </w:rPr>
            </w:pPr>
            <w:r>
              <w:rPr>
                <w:rFonts w:ascii="宋体" w:hAnsi="宋体" w:eastAsia="宋体" w:cs="宋体"/>
                <w:spacing w:val="5"/>
                <w:sz w:val="21"/>
                <w:szCs w:val="21"/>
              </w:rPr>
              <w:t>升降照明</w:t>
            </w:r>
            <w:r>
              <w:rPr>
                <w:rFonts w:ascii="宋体" w:hAnsi="宋体" w:eastAsia="宋体" w:cs="宋体"/>
                <w:spacing w:val="1"/>
                <w:sz w:val="21"/>
                <w:szCs w:val="21"/>
              </w:rPr>
              <w:t xml:space="preserve"> </w:t>
            </w:r>
            <w:r>
              <w:rPr>
                <w:rFonts w:ascii="宋体" w:hAnsi="宋体" w:eastAsia="宋体" w:cs="宋体"/>
                <w:sz w:val="21"/>
                <w:szCs w:val="21"/>
              </w:rPr>
              <w:t>灯</w:t>
            </w:r>
          </w:p>
        </w:tc>
        <w:tc>
          <w:tcPr>
            <w:tcW w:w="677"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68" w:line="280" w:lineRule="exact"/>
              <w:ind w:left="112" w:leftChars="0"/>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1套</w:t>
            </w:r>
          </w:p>
        </w:tc>
        <w:tc>
          <w:tcPr>
            <w:tcW w:w="5639"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69" w:line="280" w:lineRule="exact"/>
              <w:ind w:left="123" w:leftChars="0"/>
              <w:textAlignment w:val="auto"/>
              <w:rPr>
                <w:rFonts w:ascii="宋体" w:hAnsi="宋体" w:eastAsia="宋体" w:cs="宋体"/>
                <w:kern w:val="2"/>
                <w:sz w:val="21"/>
                <w:szCs w:val="21"/>
                <w:lang w:val="en-US" w:eastAsia="zh-CN" w:bidi="ar-SA"/>
              </w:rPr>
            </w:pPr>
            <w:r>
              <w:rPr>
                <w:rFonts w:ascii="宋体" w:hAnsi="宋体" w:eastAsia="宋体" w:cs="宋体"/>
                <w:spacing w:val="6"/>
                <w:sz w:val="21"/>
                <w:szCs w:val="21"/>
              </w:rPr>
              <w:t>照明灯为</w:t>
            </w:r>
            <w:r>
              <w:rPr>
                <w:rFonts w:ascii="宋体" w:hAnsi="宋体" w:eastAsia="宋体" w:cs="宋体"/>
                <w:sz w:val="21"/>
                <w:szCs w:val="21"/>
              </w:rPr>
              <w:t>LED</w:t>
            </w:r>
            <w:r>
              <w:rPr>
                <w:rFonts w:ascii="宋体" w:hAnsi="宋体" w:eastAsia="宋体" w:cs="宋体"/>
                <w:spacing w:val="6"/>
                <w:sz w:val="21"/>
                <w:szCs w:val="21"/>
              </w:rPr>
              <w:t>灯头，可360°旋转，工作功率≥2×70W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585" w:type="dxa"/>
            <w:vMerge w:val="restart"/>
            <w:vAlign w:val="top"/>
          </w:tcPr>
          <w:p>
            <w:pPr>
              <w:keepNext w:val="0"/>
              <w:keepLines w:val="0"/>
              <w:pageBreakBefore w:val="0"/>
              <w:widowControl w:val="0"/>
              <w:kinsoku/>
              <w:wordWrap/>
              <w:overflowPunct/>
              <w:topLinePunct w:val="0"/>
              <w:autoSpaceDE/>
              <w:autoSpaceDN/>
              <w:bidi w:val="0"/>
              <w:adjustRightInd/>
              <w:snapToGrid/>
              <w:spacing w:before="68" w:line="280" w:lineRule="exact"/>
              <w:ind w:left="95" w:leftChars="0"/>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4.</w:t>
            </w:r>
          </w:p>
        </w:tc>
        <w:tc>
          <w:tcPr>
            <w:tcW w:w="753" w:type="dxa"/>
            <w:vMerge w:val="restart"/>
            <w:vAlign w:val="top"/>
          </w:tcPr>
          <w:p>
            <w:pPr>
              <w:keepNext w:val="0"/>
              <w:keepLines w:val="0"/>
              <w:pageBreakBefore w:val="0"/>
              <w:widowControl w:val="0"/>
              <w:kinsoku/>
              <w:wordWrap/>
              <w:overflowPunct/>
              <w:topLinePunct w:val="0"/>
              <w:autoSpaceDE/>
              <w:autoSpaceDN/>
              <w:bidi w:val="0"/>
              <w:adjustRightInd/>
              <w:snapToGrid/>
              <w:spacing w:before="69" w:line="280" w:lineRule="exact"/>
              <w:ind w:left="131" w:leftChars="0" w:right="119" w:rightChars="0"/>
              <w:jc w:val="both"/>
              <w:textAlignment w:val="auto"/>
              <w:rPr>
                <w:rFonts w:ascii="宋体" w:hAnsi="宋体" w:eastAsia="宋体" w:cs="宋体"/>
                <w:kern w:val="2"/>
                <w:sz w:val="21"/>
                <w:szCs w:val="21"/>
                <w:lang w:val="en-US" w:eastAsia="zh-CN" w:bidi="ar-SA"/>
              </w:rPr>
            </w:pPr>
            <w:r>
              <w:rPr>
                <w:rFonts w:ascii="宋体" w:hAnsi="宋体" w:eastAsia="宋体" w:cs="宋体"/>
                <w:spacing w:val="5"/>
                <w:sz w:val="21"/>
                <w:szCs w:val="21"/>
              </w:rPr>
              <w:t>桌柜</w:t>
            </w:r>
            <w:r>
              <w:rPr>
                <w:rFonts w:ascii="宋体" w:hAnsi="宋体" w:eastAsia="宋体" w:cs="宋体"/>
                <w:sz w:val="21"/>
                <w:szCs w:val="21"/>
              </w:rPr>
              <w:t xml:space="preserve"> </w:t>
            </w:r>
            <w:r>
              <w:rPr>
                <w:rFonts w:ascii="宋体" w:hAnsi="宋体" w:eastAsia="宋体" w:cs="宋体"/>
                <w:spacing w:val="9"/>
                <w:sz w:val="21"/>
                <w:szCs w:val="21"/>
              </w:rPr>
              <w:t>控制</w:t>
            </w:r>
            <w:r>
              <w:rPr>
                <w:rFonts w:ascii="宋体" w:hAnsi="宋体" w:eastAsia="宋体" w:cs="宋体"/>
                <w:sz w:val="21"/>
                <w:szCs w:val="21"/>
              </w:rPr>
              <w:t xml:space="preserve"> </w:t>
            </w:r>
            <w:r>
              <w:rPr>
                <w:rFonts w:ascii="宋体" w:hAnsi="宋体" w:eastAsia="宋体" w:cs="宋体"/>
                <w:spacing w:val="-4"/>
                <w:sz w:val="21"/>
                <w:szCs w:val="21"/>
              </w:rPr>
              <w:t>及设</w:t>
            </w:r>
            <w:r>
              <w:rPr>
                <w:rFonts w:ascii="宋体" w:hAnsi="宋体" w:eastAsia="宋体" w:cs="宋体"/>
                <w:sz w:val="21"/>
                <w:szCs w:val="21"/>
              </w:rPr>
              <w:t xml:space="preserve"> </w:t>
            </w:r>
            <w:r>
              <w:rPr>
                <w:rFonts w:ascii="宋体" w:hAnsi="宋体" w:eastAsia="宋体" w:cs="宋体"/>
                <w:spacing w:val="-6"/>
                <w:sz w:val="21"/>
                <w:szCs w:val="21"/>
              </w:rPr>
              <w:t>备机</w:t>
            </w:r>
            <w:r>
              <w:rPr>
                <w:rFonts w:ascii="宋体" w:hAnsi="宋体" w:eastAsia="宋体" w:cs="宋体"/>
                <w:sz w:val="21"/>
                <w:szCs w:val="21"/>
              </w:rPr>
              <w:t xml:space="preserve"> </w:t>
            </w:r>
            <w:r>
              <w:rPr>
                <w:rFonts w:ascii="宋体" w:hAnsi="宋体" w:eastAsia="宋体" w:cs="宋体"/>
                <w:spacing w:val="29"/>
                <w:w w:val="130"/>
                <w:sz w:val="21"/>
                <w:szCs w:val="21"/>
              </w:rPr>
              <w:t>柜</w:t>
            </w:r>
          </w:p>
        </w:tc>
        <w:tc>
          <w:tcPr>
            <w:tcW w:w="1303" w:type="dxa"/>
            <w:vAlign w:val="top"/>
          </w:tcPr>
          <w:p>
            <w:pPr>
              <w:keepNext w:val="0"/>
              <w:keepLines w:val="0"/>
              <w:pageBreakBefore w:val="0"/>
              <w:widowControl w:val="0"/>
              <w:kinsoku/>
              <w:wordWrap/>
              <w:overflowPunct/>
              <w:topLinePunct w:val="0"/>
              <w:autoSpaceDE/>
              <w:autoSpaceDN/>
              <w:bidi w:val="0"/>
              <w:adjustRightInd/>
              <w:snapToGrid/>
              <w:spacing w:before="50" w:line="280" w:lineRule="exact"/>
              <w:ind w:left="282" w:leftChars="0"/>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操控桌</w:t>
            </w:r>
          </w:p>
        </w:tc>
        <w:tc>
          <w:tcPr>
            <w:tcW w:w="677" w:type="dxa"/>
            <w:vAlign w:val="top"/>
          </w:tcPr>
          <w:p>
            <w:pPr>
              <w:keepNext w:val="0"/>
              <w:keepLines w:val="0"/>
              <w:pageBreakBefore w:val="0"/>
              <w:widowControl w:val="0"/>
              <w:kinsoku/>
              <w:wordWrap/>
              <w:overflowPunct/>
              <w:topLinePunct w:val="0"/>
              <w:autoSpaceDE/>
              <w:autoSpaceDN/>
              <w:bidi w:val="0"/>
              <w:adjustRightInd/>
              <w:snapToGrid/>
              <w:spacing w:before="50" w:line="280" w:lineRule="exact"/>
              <w:ind w:left="112" w:leftChars="0"/>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1套</w:t>
            </w:r>
          </w:p>
        </w:tc>
        <w:tc>
          <w:tcPr>
            <w:tcW w:w="5639" w:type="dxa"/>
            <w:vAlign w:val="top"/>
          </w:tcPr>
          <w:p>
            <w:pPr>
              <w:keepNext w:val="0"/>
              <w:keepLines w:val="0"/>
              <w:pageBreakBefore w:val="0"/>
              <w:widowControl w:val="0"/>
              <w:kinsoku/>
              <w:wordWrap/>
              <w:overflowPunct/>
              <w:topLinePunct w:val="0"/>
              <w:autoSpaceDE/>
              <w:autoSpaceDN/>
              <w:bidi w:val="0"/>
              <w:adjustRightInd/>
              <w:snapToGrid/>
              <w:spacing w:before="50" w:line="280" w:lineRule="exact"/>
              <w:ind w:left="123" w:leftChars="0"/>
              <w:textAlignment w:val="auto"/>
              <w:rPr>
                <w:rFonts w:ascii="宋体" w:hAnsi="宋体" w:eastAsia="宋体" w:cs="宋体"/>
                <w:kern w:val="2"/>
                <w:sz w:val="21"/>
                <w:szCs w:val="21"/>
                <w:lang w:val="en-US" w:eastAsia="zh-CN" w:bidi="ar-SA"/>
              </w:rPr>
            </w:pPr>
            <w:r>
              <w:rPr>
                <w:rFonts w:ascii="宋体" w:hAnsi="宋体" w:eastAsia="宋体" w:cs="宋体"/>
                <w:spacing w:val="5"/>
                <w:sz w:val="21"/>
                <w:szCs w:val="21"/>
              </w:rPr>
              <w:t>白色桌面，金属骨架，两侧桌面可折叠。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spacing w:before="257" w:line="280" w:lineRule="exact"/>
              <w:ind w:left="64"/>
              <w:jc w:val="center"/>
              <w:textAlignment w:val="auto"/>
              <w:rPr>
                <w:rFonts w:ascii="宋体" w:hAnsi="宋体" w:eastAsia="宋体" w:cs="宋体"/>
                <w:spacing w:val="-4"/>
                <w:sz w:val="21"/>
                <w:szCs w:val="21"/>
              </w:rPr>
            </w:pPr>
          </w:p>
        </w:tc>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before="73" w:line="280" w:lineRule="exact"/>
              <w:ind w:left="131" w:right="128"/>
              <w:jc w:val="center"/>
              <w:textAlignment w:val="auto"/>
              <w:rPr>
                <w:rFonts w:ascii="宋体" w:hAnsi="宋体" w:eastAsia="宋体" w:cs="宋体"/>
                <w:spacing w:val="4"/>
                <w:sz w:val="21"/>
                <w:szCs w:val="21"/>
              </w:rPr>
            </w:pPr>
          </w:p>
        </w:tc>
        <w:tc>
          <w:tcPr>
            <w:tcW w:w="1303" w:type="dxa"/>
            <w:vAlign w:val="top"/>
          </w:tcPr>
          <w:p>
            <w:pPr>
              <w:keepNext w:val="0"/>
              <w:keepLines w:val="0"/>
              <w:pageBreakBefore w:val="0"/>
              <w:widowControl w:val="0"/>
              <w:kinsoku/>
              <w:wordWrap/>
              <w:overflowPunct/>
              <w:topLinePunct w:val="0"/>
              <w:autoSpaceDE/>
              <w:autoSpaceDN/>
              <w:bidi w:val="0"/>
              <w:adjustRightInd/>
              <w:snapToGrid/>
              <w:spacing w:before="60" w:line="280" w:lineRule="exact"/>
              <w:ind w:left="492" w:leftChars="0" w:right="168" w:rightChars="0" w:hanging="320" w:firstLineChars="0"/>
              <w:textAlignment w:val="auto"/>
              <w:rPr>
                <w:rFonts w:ascii="宋体" w:hAnsi="宋体" w:eastAsia="宋体" w:cs="宋体"/>
                <w:kern w:val="2"/>
                <w:sz w:val="21"/>
                <w:szCs w:val="21"/>
                <w:lang w:val="en-US" w:eastAsia="zh-CN" w:bidi="ar-SA"/>
              </w:rPr>
            </w:pPr>
            <w:r>
              <w:rPr>
                <w:rFonts w:ascii="宋体" w:hAnsi="宋体" w:eastAsia="宋体" w:cs="宋体"/>
                <w:spacing w:val="4"/>
                <w:sz w:val="21"/>
                <w:szCs w:val="21"/>
              </w:rPr>
              <w:t>小型控制</w:t>
            </w:r>
            <w:r>
              <w:rPr>
                <w:rFonts w:ascii="宋体" w:hAnsi="宋体" w:eastAsia="宋体" w:cs="宋体"/>
                <w:spacing w:val="1"/>
                <w:sz w:val="21"/>
                <w:szCs w:val="21"/>
              </w:rPr>
              <w:t xml:space="preserve"> </w:t>
            </w:r>
            <w:r>
              <w:rPr>
                <w:rFonts w:ascii="宋体" w:hAnsi="宋体" w:eastAsia="宋体" w:cs="宋体"/>
                <w:sz w:val="21"/>
                <w:szCs w:val="21"/>
              </w:rPr>
              <w:t>柜</w:t>
            </w:r>
          </w:p>
        </w:tc>
        <w:tc>
          <w:tcPr>
            <w:tcW w:w="677" w:type="dxa"/>
            <w:vAlign w:val="top"/>
          </w:tcPr>
          <w:p>
            <w:pPr>
              <w:keepNext w:val="0"/>
              <w:keepLines w:val="0"/>
              <w:pageBreakBefore w:val="0"/>
              <w:widowControl w:val="0"/>
              <w:kinsoku/>
              <w:wordWrap/>
              <w:overflowPunct/>
              <w:topLinePunct w:val="0"/>
              <w:autoSpaceDE/>
              <w:autoSpaceDN/>
              <w:bidi w:val="0"/>
              <w:adjustRightInd/>
              <w:snapToGrid/>
              <w:spacing w:before="201" w:line="280" w:lineRule="exact"/>
              <w:ind w:left="112" w:leftChars="0"/>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1套</w:t>
            </w:r>
          </w:p>
        </w:tc>
        <w:tc>
          <w:tcPr>
            <w:tcW w:w="5639" w:type="dxa"/>
            <w:vAlign w:val="top"/>
          </w:tcPr>
          <w:p>
            <w:pPr>
              <w:keepNext w:val="0"/>
              <w:keepLines w:val="0"/>
              <w:pageBreakBefore w:val="0"/>
              <w:widowControl w:val="0"/>
              <w:kinsoku/>
              <w:wordWrap/>
              <w:overflowPunct/>
              <w:topLinePunct w:val="0"/>
              <w:autoSpaceDE/>
              <w:autoSpaceDN/>
              <w:bidi w:val="0"/>
              <w:adjustRightInd/>
              <w:snapToGrid/>
              <w:spacing w:before="200" w:line="280" w:lineRule="exact"/>
              <w:ind w:left="123" w:leftChars="0"/>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米色皮革包裹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spacing w:before="257" w:line="280" w:lineRule="exact"/>
              <w:ind w:left="64"/>
              <w:jc w:val="center"/>
              <w:textAlignment w:val="auto"/>
              <w:rPr>
                <w:rFonts w:ascii="宋体" w:hAnsi="宋体" w:eastAsia="宋体" w:cs="宋体"/>
                <w:spacing w:val="-4"/>
                <w:sz w:val="21"/>
                <w:szCs w:val="21"/>
              </w:rPr>
            </w:pPr>
          </w:p>
        </w:tc>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before="73" w:line="280" w:lineRule="exact"/>
              <w:ind w:left="131" w:right="128"/>
              <w:jc w:val="center"/>
              <w:textAlignment w:val="auto"/>
              <w:rPr>
                <w:rFonts w:ascii="宋体" w:hAnsi="宋体" w:eastAsia="宋体" w:cs="宋体"/>
                <w:spacing w:val="4"/>
                <w:sz w:val="21"/>
                <w:szCs w:val="21"/>
              </w:rPr>
            </w:pPr>
          </w:p>
        </w:tc>
        <w:tc>
          <w:tcPr>
            <w:tcW w:w="1303" w:type="dxa"/>
            <w:vAlign w:val="top"/>
          </w:tcPr>
          <w:p>
            <w:pPr>
              <w:keepNext w:val="0"/>
              <w:keepLines w:val="0"/>
              <w:pageBreakBefore w:val="0"/>
              <w:widowControl w:val="0"/>
              <w:kinsoku/>
              <w:wordWrap/>
              <w:overflowPunct/>
              <w:topLinePunct w:val="0"/>
              <w:autoSpaceDE/>
              <w:autoSpaceDN/>
              <w:bidi w:val="0"/>
              <w:adjustRightInd/>
              <w:snapToGrid/>
              <w:spacing w:before="192" w:line="280" w:lineRule="exact"/>
              <w:ind w:left="282" w:leftChars="0"/>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装备柜</w:t>
            </w:r>
          </w:p>
        </w:tc>
        <w:tc>
          <w:tcPr>
            <w:tcW w:w="677" w:type="dxa"/>
            <w:vAlign w:val="top"/>
          </w:tcPr>
          <w:p>
            <w:pPr>
              <w:keepNext w:val="0"/>
              <w:keepLines w:val="0"/>
              <w:pageBreakBefore w:val="0"/>
              <w:widowControl w:val="0"/>
              <w:kinsoku/>
              <w:wordWrap/>
              <w:overflowPunct/>
              <w:topLinePunct w:val="0"/>
              <w:autoSpaceDE/>
              <w:autoSpaceDN/>
              <w:bidi w:val="0"/>
              <w:adjustRightInd/>
              <w:snapToGrid/>
              <w:spacing w:before="192" w:line="280" w:lineRule="exact"/>
              <w:ind w:left="112" w:leftChars="0"/>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1套</w:t>
            </w:r>
          </w:p>
        </w:tc>
        <w:tc>
          <w:tcPr>
            <w:tcW w:w="5639" w:type="dxa"/>
            <w:vAlign w:val="top"/>
          </w:tcPr>
          <w:p>
            <w:pPr>
              <w:keepNext w:val="0"/>
              <w:keepLines w:val="0"/>
              <w:pageBreakBefore w:val="0"/>
              <w:widowControl w:val="0"/>
              <w:kinsoku/>
              <w:wordWrap/>
              <w:overflowPunct/>
              <w:topLinePunct w:val="0"/>
              <w:autoSpaceDE/>
              <w:autoSpaceDN/>
              <w:bidi w:val="0"/>
              <w:adjustRightInd/>
              <w:snapToGrid/>
              <w:spacing w:before="192" w:line="280" w:lineRule="exact"/>
              <w:ind w:left="123" w:leftChars="0"/>
              <w:textAlignment w:val="auto"/>
              <w:rPr>
                <w:rFonts w:ascii="宋体" w:hAnsi="宋体" w:eastAsia="宋体" w:cs="宋体"/>
                <w:kern w:val="2"/>
                <w:sz w:val="21"/>
                <w:szCs w:val="21"/>
                <w:lang w:val="en-US" w:eastAsia="zh-CN" w:bidi="ar-SA"/>
              </w:rPr>
            </w:pPr>
            <w:r>
              <w:rPr>
                <w:rFonts w:ascii="宋体" w:hAnsi="宋体" w:eastAsia="宋体" w:cs="宋体"/>
                <w:spacing w:val="1"/>
                <w:sz w:val="21"/>
                <w:szCs w:val="21"/>
              </w:rPr>
              <w:t>定制铝合金装备柜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585" w:type="dxa"/>
            <w:vMerge w:val="restart"/>
            <w:vAlign w:val="top"/>
          </w:tcPr>
          <w:p>
            <w:pPr>
              <w:keepNext w:val="0"/>
              <w:keepLines w:val="0"/>
              <w:pageBreakBefore w:val="0"/>
              <w:widowControl w:val="0"/>
              <w:kinsoku/>
              <w:wordWrap/>
              <w:overflowPunct/>
              <w:topLinePunct w:val="0"/>
              <w:autoSpaceDE/>
              <w:autoSpaceDN/>
              <w:bidi w:val="0"/>
              <w:adjustRightInd/>
              <w:snapToGrid/>
              <w:spacing w:before="69" w:line="280" w:lineRule="exact"/>
              <w:ind w:left="95" w:leftChars="0"/>
              <w:textAlignment w:val="auto"/>
              <w:rPr>
                <w:rFonts w:ascii="宋体" w:hAnsi="宋体" w:eastAsia="宋体" w:cs="宋体"/>
                <w:kern w:val="2"/>
                <w:sz w:val="21"/>
                <w:szCs w:val="21"/>
                <w:lang w:val="en-US" w:eastAsia="zh-CN" w:bidi="ar-SA"/>
              </w:rPr>
            </w:pPr>
            <w:r>
              <w:rPr>
                <w:rFonts w:ascii="宋体" w:hAnsi="宋体" w:eastAsia="宋体" w:cs="宋体"/>
                <w:spacing w:val="-4"/>
                <w:sz w:val="21"/>
                <w:szCs w:val="21"/>
              </w:rPr>
              <w:t>5.</w:t>
            </w:r>
          </w:p>
        </w:tc>
        <w:tc>
          <w:tcPr>
            <w:tcW w:w="753" w:type="dxa"/>
            <w:vMerge w:val="restart"/>
            <w:vAlign w:val="top"/>
          </w:tcPr>
          <w:p>
            <w:pPr>
              <w:keepNext w:val="0"/>
              <w:keepLines w:val="0"/>
              <w:pageBreakBefore w:val="0"/>
              <w:widowControl w:val="0"/>
              <w:kinsoku/>
              <w:wordWrap/>
              <w:overflowPunct/>
              <w:topLinePunct w:val="0"/>
              <w:autoSpaceDE/>
              <w:autoSpaceDN/>
              <w:bidi w:val="0"/>
              <w:adjustRightInd/>
              <w:snapToGrid/>
              <w:spacing w:before="68" w:line="280" w:lineRule="exact"/>
              <w:ind w:left="131" w:leftChars="0" w:right="118" w:rightChars="0"/>
              <w:jc w:val="both"/>
              <w:textAlignment w:val="auto"/>
              <w:rPr>
                <w:rFonts w:ascii="宋体" w:hAnsi="宋体" w:eastAsia="宋体" w:cs="宋体"/>
                <w:kern w:val="2"/>
                <w:sz w:val="21"/>
                <w:szCs w:val="21"/>
                <w:lang w:val="en-US" w:eastAsia="zh-CN" w:bidi="ar-SA"/>
              </w:rPr>
            </w:pPr>
            <w:r>
              <w:rPr>
                <w:rFonts w:ascii="宋体" w:hAnsi="宋体" w:eastAsia="宋体" w:cs="宋体"/>
                <w:spacing w:val="-5"/>
                <w:sz w:val="21"/>
                <w:szCs w:val="21"/>
              </w:rPr>
              <w:t>供配</w:t>
            </w:r>
            <w:r>
              <w:rPr>
                <w:rFonts w:ascii="宋体" w:hAnsi="宋体" w:eastAsia="宋体" w:cs="宋体"/>
                <w:sz w:val="21"/>
                <w:szCs w:val="21"/>
              </w:rPr>
              <w:t xml:space="preserve"> </w:t>
            </w:r>
            <w:r>
              <w:rPr>
                <w:rFonts w:ascii="宋体" w:hAnsi="宋体" w:eastAsia="宋体" w:cs="宋体"/>
                <w:spacing w:val="9"/>
                <w:sz w:val="21"/>
                <w:szCs w:val="21"/>
              </w:rPr>
              <w:t>电系</w:t>
            </w:r>
            <w:r>
              <w:rPr>
                <w:rFonts w:ascii="宋体" w:hAnsi="宋体" w:eastAsia="宋体" w:cs="宋体"/>
                <w:sz w:val="21"/>
                <w:szCs w:val="21"/>
              </w:rPr>
              <w:t xml:space="preserve"> </w:t>
            </w:r>
            <w:r>
              <w:rPr>
                <w:rFonts w:ascii="宋体" w:hAnsi="宋体" w:eastAsia="宋体" w:cs="宋体"/>
                <w:spacing w:val="34"/>
                <w:w w:val="125"/>
                <w:sz w:val="21"/>
                <w:szCs w:val="21"/>
              </w:rPr>
              <w:t>统</w:t>
            </w:r>
          </w:p>
        </w:tc>
        <w:tc>
          <w:tcPr>
            <w:tcW w:w="1303" w:type="dxa"/>
            <w:vAlign w:val="top"/>
          </w:tcPr>
          <w:p>
            <w:pPr>
              <w:keepNext w:val="0"/>
              <w:keepLines w:val="0"/>
              <w:pageBreakBefore w:val="0"/>
              <w:widowControl w:val="0"/>
              <w:kinsoku/>
              <w:wordWrap/>
              <w:overflowPunct/>
              <w:topLinePunct w:val="0"/>
              <w:autoSpaceDE/>
              <w:autoSpaceDN/>
              <w:bidi w:val="0"/>
              <w:adjustRightInd/>
              <w:snapToGrid/>
              <w:spacing w:before="53" w:line="280" w:lineRule="exact"/>
              <w:ind w:left="492" w:leftChars="0" w:right="174" w:rightChars="0" w:hanging="320" w:firstLineChars="0"/>
              <w:textAlignment w:val="auto"/>
              <w:rPr>
                <w:rFonts w:ascii="宋体" w:hAnsi="宋体" w:eastAsia="宋体" w:cs="宋体"/>
                <w:kern w:val="2"/>
                <w:sz w:val="21"/>
                <w:szCs w:val="21"/>
                <w:lang w:val="en-US" w:eastAsia="zh-CN" w:bidi="ar-SA"/>
              </w:rPr>
            </w:pPr>
            <w:r>
              <w:rPr>
                <w:rFonts w:ascii="宋体" w:hAnsi="宋体" w:eastAsia="宋体" w:cs="宋体"/>
                <w:spacing w:val="3"/>
                <w:sz w:val="21"/>
                <w:szCs w:val="21"/>
              </w:rPr>
              <w:t>免维护电</w:t>
            </w:r>
            <w:r>
              <w:rPr>
                <w:rFonts w:ascii="宋体" w:hAnsi="宋体" w:eastAsia="宋体" w:cs="宋体"/>
                <w:sz w:val="21"/>
                <w:szCs w:val="21"/>
              </w:rPr>
              <w:t xml:space="preserve"> 池</w:t>
            </w:r>
          </w:p>
        </w:tc>
        <w:tc>
          <w:tcPr>
            <w:tcW w:w="677" w:type="dxa"/>
            <w:vAlign w:val="top"/>
          </w:tcPr>
          <w:p>
            <w:pPr>
              <w:keepNext w:val="0"/>
              <w:keepLines w:val="0"/>
              <w:pageBreakBefore w:val="0"/>
              <w:widowControl w:val="0"/>
              <w:kinsoku/>
              <w:wordWrap/>
              <w:overflowPunct/>
              <w:topLinePunct w:val="0"/>
              <w:autoSpaceDE/>
              <w:autoSpaceDN/>
              <w:bidi w:val="0"/>
              <w:adjustRightInd/>
              <w:snapToGrid/>
              <w:spacing w:before="203" w:line="280" w:lineRule="exact"/>
              <w:ind w:left="112" w:leftChars="0"/>
              <w:textAlignment w:val="auto"/>
              <w:rPr>
                <w:rFonts w:ascii="宋体" w:hAnsi="宋体" w:eastAsia="宋体" w:cs="宋体"/>
                <w:kern w:val="2"/>
                <w:sz w:val="21"/>
                <w:szCs w:val="21"/>
                <w:lang w:val="en-US" w:eastAsia="zh-CN" w:bidi="ar-SA"/>
              </w:rPr>
            </w:pPr>
            <w:r>
              <w:rPr>
                <w:rFonts w:ascii="宋体" w:hAnsi="宋体" w:eastAsia="宋体" w:cs="宋体"/>
                <w:spacing w:val="1"/>
                <w:sz w:val="21"/>
                <w:szCs w:val="21"/>
              </w:rPr>
              <w:t>1块</w:t>
            </w:r>
          </w:p>
        </w:tc>
        <w:tc>
          <w:tcPr>
            <w:tcW w:w="5639" w:type="dxa"/>
            <w:vAlign w:val="top"/>
          </w:tcPr>
          <w:p>
            <w:pPr>
              <w:keepNext w:val="0"/>
              <w:keepLines w:val="0"/>
              <w:pageBreakBefore w:val="0"/>
              <w:widowControl w:val="0"/>
              <w:kinsoku/>
              <w:wordWrap/>
              <w:overflowPunct/>
              <w:topLinePunct w:val="0"/>
              <w:autoSpaceDE/>
              <w:autoSpaceDN/>
              <w:bidi w:val="0"/>
              <w:adjustRightInd/>
              <w:snapToGrid/>
              <w:spacing w:before="203" w:line="280" w:lineRule="exact"/>
              <w:ind w:left="123" w:leftChars="0"/>
              <w:textAlignment w:val="auto"/>
              <w:rPr>
                <w:rFonts w:ascii="宋体" w:hAnsi="宋体" w:eastAsia="宋体" w:cs="宋体"/>
                <w:kern w:val="2"/>
                <w:sz w:val="21"/>
                <w:szCs w:val="21"/>
                <w:lang w:val="en-US" w:eastAsia="zh-CN" w:bidi="ar-SA"/>
              </w:rPr>
            </w:pPr>
            <w:r>
              <w:rPr>
                <w:rFonts w:ascii="宋体" w:hAnsi="宋体" w:eastAsia="宋体" w:cs="宋体"/>
                <w:spacing w:val="5"/>
                <w:sz w:val="21"/>
                <w:szCs w:val="21"/>
              </w:rPr>
              <w:t>电池电压：12V电池容量≥70</w:t>
            </w:r>
            <w:r>
              <w:rPr>
                <w:rFonts w:ascii="宋体" w:hAnsi="宋体" w:eastAsia="宋体" w:cs="宋体"/>
                <w:sz w:val="21"/>
                <w:szCs w:val="21"/>
              </w:rPr>
              <w:t>AH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spacing w:before="257" w:line="280" w:lineRule="exact"/>
              <w:ind w:left="64"/>
              <w:jc w:val="center"/>
              <w:textAlignment w:val="auto"/>
              <w:rPr>
                <w:rFonts w:ascii="宋体" w:hAnsi="宋体" w:eastAsia="宋体" w:cs="宋体"/>
                <w:spacing w:val="-4"/>
                <w:sz w:val="21"/>
                <w:szCs w:val="21"/>
              </w:rPr>
            </w:pPr>
          </w:p>
        </w:tc>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before="73" w:line="280" w:lineRule="exact"/>
              <w:ind w:left="131" w:right="128"/>
              <w:jc w:val="center"/>
              <w:textAlignment w:val="auto"/>
              <w:rPr>
                <w:rFonts w:ascii="宋体" w:hAnsi="宋体" w:eastAsia="宋体" w:cs="宋体"/>
                <w:spacing w:val="4"/>
                <w:sz w:val="21"/>
                <w:szCs w:val="21"/>
              </w:rPr>
            </w:pPr>
          </w:p>
        </w:tc>
        <w:tc>
          <w:tcPr>
            <w:tcW w:w="1303" w:type="dxa"/>
            <w:vAlign w:val="top"/>
          </w:tcPr>
          <w:p>
            <w:pPr>
              <w:keepNext w:val="0"/>
              <w:keepLines w:val="0"/>
              <w:pageBreakBefore w:val="0"/>
              <w:widowControl w:val="0"/>
              <w:kinsoku/>
              <w:wordWrap/>
              <w:overflowPunct/>
              <w:topLinePunct w:val="0"/>
              <w:autoSpaceDE/>
              <w:autoSpaceDN/>
              <w:bidi w:val="0"/>
              <w:adjustRightInd/>
              <w:snapToGrid/>
              <w:spacing w:before="53" w:line="280" w:lineRule="exact"/>
              <w:ind w:left="381" w:leftChars="0" w:right="168" w:rightChars="0" w:hanging="209" w:firstLineChars="0"/>
              <w:textAlignment w:val="auto"/>
              <w:rPr>
                <w:rFonts w:ascii="宋体" w:hAnsi="宋体" w:eastAsia="宋体" w:cs="宋体"/>
                <w:kern w:val="2"/>
                <w:sz w:val="21"/>
                <w:szCs w:val="21"/>
                <w:lang w:val="en-US" w:eastAsia="zh-CN" w:bidi="ar-SA"/>
              </w:rPr>
            </w:pPr>
            <w:r>
              <w:rPr>
                <w:rFonts w:ascii="宋体" w:hAnsi="宋体" w:eastAsia="宋体" w:cs="宋体"/>
                <w:spacing w:val="4"/>
                <w:sz w:val="21"/>
                <w:szCs w:val="21"/>
              </w:rPr>
              <w:t>集中控制</w:t>
            </w:r>
            <w:r>
              <w:rPr>
                <w:rFonts w:ascii="宋体" w:hAnsi="宋体" w:eastAsia="宋体" w:cs="宋体"/>
                <w:spacing w:val="1"/>
                <w:sz w:val="21"/>
                <w:szCs w:val="21"/>
              </w:rPr>
              <w:t xml:space="preserve"> </w:t>
            </w:r>
            <w:r>
              <w:rPr>
                <w:rFonts w:ascii="宋体" w:hAnsi="宋体" w:eastAsia="宋体" w:cs="宋体"/>
                <w:spacing w:val="4"/>
                <w:sz w:val="21"/>
                <w:szCs w:val="21"/>
              </w:rPr>
              <w:t>系统</w:t>
            </w:r>
          </w:p>
        </w:tc>
        <w:tc>
          <w:tcPr>
            <w:tcW w:w="677" w:type="dxa"/>
            <w:vAlign w:val="top"/>
          </w:tcPr>
          <w:p>
            <w:pPr>
              <w:keepNext w:val="0"/>
              <w:keepLines w:val="0"/>
              <w:pageBreakBefore w:val="0"/>
              <w:widowControl w:val="0"/>
              <w:kinsoku/>
              <w:wordWrap/>
              <w:overflowPunct/>
              <w:topLinePunct w:val="0"/>
              <w:autoSpaceDE/>
              <w:autoSpaceDN/>
              <w:bidi w:val="0"/>
              <w:adjustRightInd/>
              <w:snapToGrid/>
              <w:spacing w:before="214" w:line="280" w:lineRule="exact"/>
              <w:ind w:left="112" w:leftChars="0"/>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1套</w:t>
            </w:r>
          </w:p>
        </w:tc>
        <w:tc>
          <w:tcPr>
            <w:tcW w:w="5639" w:type="dxa"/>
            <w:vAlign w:val="top"/>
          </w:tcPr>
          <w:p>
            <w:pPr>
              <w:keepNext w:val="0"/>
              <w:keepLines w:val="0"/>
              <w:pageBreakBefore w:val="0"/>
              <w:widowControl w:val="0"/>
              <w:kinsoku/>
              <w:wordWrap/>
              <w:overflowPunct/>
              <w:topLinePunct w:val="0"/>
              <w:autoSpaceDE/>
              <w:autoSpaceDN/>
              <w:bidi w:val="0"/>
              <w:adjustRightInd/>
              <w:snapToGrid/>
              <w:spacing w:before="74" w:line="280" w:lineRule="exact"/>
              <w:ind w:left="123" w:leftChars="0" w:right="82" w:rightChars="0"/>
              <w:textAlignment w:val="auto"/>
              <w:rPr>
                <w:rFonts w:ascii="宋体" w:hAnsi="宋体" w:eastAsia="宋体" w:cs="宋体"/>
                <w:kern w:val="2"/>
                <w:sz w:val="21"/>
                <w:szCs w:val="21"/>
                <w:lang w:val="en-US" w:eastAsia="zh-CN" w:bidi="ar-SA"/>
              </w:rPr>
            </w:pPr>
            <w:r>
              <w:rPr>
                <w:rFonts w:ascii="宋体" w:hAnsi="宋体" w:eastAsia="宋体" w:cs="宋体"/>
                <w:sz w:val="21"/>
                <w:szCs w:val="21"/>
              </w:rPr>
              <w:t>DC</w:t>
            </w:r>
            <w:r>
              <w:rPr>
                <w:rFonts w:ascii="宋体" w:hAnsi="宋体" w:eastAsia="宋体" w:cs="宋体"/>
                <w:spacing w:val="3"/>
                <w:sz w:val="21"/>
                <w:szCs w:val="21"/>
              </w:rPr>
              <w:t>12V低压控制，有电池电压低电压保护功能，各路电</w:t>
            </w:r>
            <w:r>
              <w:rPr>
                <w:rFonts w:ascii="宋体" w:hAnsi="宋体" w:eastAsia="宋体" w:cs="宋体"/>
                <w:spacing w:val="4"/>
                <w:sz w:val="21"/>
                <w:szCs w:val="21"/>
              </w:rPr>
              <w:t xml:space="preserve"> </w:t>
            </w:r>
            <w:r>
              <w:rPr>
                <w:rFonts w:ascii="宋体" w:hAnsi="宋体" w:eastAsia="宋体" w:cs="宋体"/>
                <w:spacing w:val="-2"/>
                <w:sz w:val="21"/>
                <w:szCs w:val="21"/>
              </w:rPr>
              <w:t>器保护功能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spacing w:before="257" w:line="280" w:lineRule="exact"/>
              <w:ind w:left="64"/>
              <w:jc w:val="center"/>
              <w:textAlignment w:val="auto"/>
              <w:rPr>
                <w:rFonts w:ascii="宋体" w:hAnsi="宋体" w:eastAsia="宋体" w:cs="宋体"/>
                <w:spacing w:val="-4"/>
                <w:sz w:val="21"/>
                <w:szCs w:val="21"/>
              </w:rPr>
            </w:pPr>
          </w:p>
        </w:tc>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before="73" w:line="280" w:lineRule="exact"/>
              <w:ind w:left="131" w:right="128"/>
              <w:jc w:val="center"/>
              <w:textAlignment w:val="auto"/>
              <w:rPr>
                <w:rFonts w:ascii="宋体" w:hAnsi="宋体" w:eastAsia="宋体" w:cs="宋体"/>
                <w:spacing w:val="4"/>
                <w:sz w:val="21"/>
                <w:szCs w:val="21"/>
              </w:rPr>
            </w:pPr>
          </w:p>
        </w:tc>
        <w:tc>
          <w:tcPr>
            <w:tcW w:w="1303" w:type="dxa"/>
            <w:vAlign w:val="top"/>
          </w:tcPr>
          <w:p>
            <w:pPr>
              <w:keepNext w:val="0"/>
              <w:keepLines w:val="0"/>
              <w:pageBreakBefore w:val="0"/>
              <w:widowControl w:val="0"/>
              <w:kinsoku/>
              <w:wordWrap/>
              <w:overflowPunct/>
              <w:topLinePunct w:val="0"/>
              <w:autoSpaceDE/>
              <w:autoSpaceDN/>
              <w:bidi w:val="0"/>
              <w:adjustRightInd/>
              <w:snapToGrid/>
              <w:spacing w:before="54" w:line="280" w:lineRule="exact"/>
              <w:ind w:left="172" w:leftChars="0"/>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外接电源</w:t>
            </w:r>
          </w:p>
        </w:tc>
        <w:tc>
          <w:tcPr>
            <w:tcW w:w="677" w:type="dxa"/>
            <w:vAlign w:val="top"/>
          </w:tcPr>
          <w:p>
            <w:pPr>
              <w:keepNext w:val="0"/>
              <w:keepLines w:val="0"/>
              <w:pageBreakBefore w:val="0"/>
              <w:widowControl w:val="0"/>
              <w:kinsoku/>
              <w:wordWrap/>
              <w:overflowPunct/>
              <w:topLinePunct w:val="0"/>
              <w:autoSpaceDE/>
              <w:autoSpaceDN/>
              <w:bidi w:val="0"/>
              <w:adjustRightInd/>
              <w:snapToGrid/>
              <w:spacing w:before="54" w:line="280" w:lineRule="exact"/>
              <w:ind w:left="112" w:leftChars="0"/>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1套</w:t>
            </w:r>
          </w:p>
        </w:tc>
        <w:tc>
          <w:tcPr>
            <w:tcW w:w="5639" w:type="dxa"/>
            <w:vAlign w:val="top"/>
          </w:tcPr>
          <w:p>
            <w:pPr>
              <w:keepNext w:val="0"/>
              <w:keepLines w:val="0"/>
              <w:pageBreakBefore w:val="0"/>
              <w:widowControl w:val="0"/>
              <w:kinsoku/>
              <w:wordWrap/>
              <w:overflowPunct/>
              <w:topLinePunct w:val="0"/>
              <w:autoSpaceDE/>
              <w:autoSpaceDN/>
              <w:bidi w:val="0"/>
              <w:adjustRightInd/>
              <w:snapToGrid/>
              <w:spacing w:before="54" w:line="280" w:lineRule="exact"/>
              <w:ind w:left="123" w:leftChars="0"/>
              <w:textAlignment w:val="auto"/>
              <w:rPr>
                <w:rFonts w:ascii="宋体" w:hAnsi="宋体" w:eastAsia="宋体" w:cs="宋体"/>
                <w:kern w:val="2"/>
                <w:sz w:val="21"/>
                <w:szCs w:val="21"/>
                <w:lang w:val="en-US" w:eastAsia="zh-CN" w:bidi="ar-SA"/>
              </w:rPr>
            </w:pPr>
            <w:r>
              <w:rPr>
                <w:rFonts w:ascii="宋体" w:hAnsi="宋体" w:eastAsia="宋体" w:cs="宋体"/>
                <w:spacing w:val="3"/>
                <w:sz w:val="21"/>
                <w:szCs w:val="21"/>
              </w:rPr>
              <w:t>外接电源航空接口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jc w:val="center"/>
        </w:trPr>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spacing w:before="257" w:line="280" w:lineRule="exact"/>
              <w:ind w:left="64"/>
              <w:jc w:val="center"/>
              <w:textAlignment w:val="auto"/>
              <w:rPr>
                <w:rFonts w:ascii="宋体" w:hAnsi="宋体" w:eastAsia="宋体" w:cs="宋体"/>
                <w:spacing w:val="-4"/>
                <w:sz w:val="21"/>
                <w:szCs w:val="21"/>
              </w:rPr>
            </w:pPr>
          </w:p>
        </w:tc>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before="73" w:line="280" w:lineRule="exact"/>
              <w:ind w:left="131" w:right="128"/>
              <w:jc w:val="center"/>
              <w:textAlignment w:val="auto"/>
              <w:rPr>
                <w:rFonts w:ascii="宋体" w:hAnsi="宋体" w:eastAsia="宋体" w:cs="宋体"/>
                <w:spacing w:val="4"/>
                <w:sz w:val="21"/>
                <w:szCs w:val="21"/>
              </w:rPr>
            </w:pPr>
          </w:p>
        </w:tc>
        <w:tc>
          <w:tcPr>
            <w:tcW w:w="1303" w:type="dxa"/>
            <w:vAlign w:val="top"/>
          </w:tcPr>
          <w:p>
            <w:pPr>
              <w:keepNext w:val="0"/>
              <w:keepLines w:val="0"/>
              <w:pageBreakBefore w:val="0"/>
              <w:widowControl w:val="0"/>
              <w:kinsoku/>
              <w:wordWrap/>
              <w:overflowPunct/>
              <w:topLinePunct w:val="0"/>
              <w:autoSpaceDE/>
              <w:autoSpaceDN/>
              <w:bidi w:val="0"/>
              <w:adjustRightInd/>
              <w:snapToGrid/>
              <w:spacing w:before="54" w:line="280" w:lineRule="exact"/>
              <w:ind w:left="381" w:leftChars="0"/>
              <w:textAlignment w:val="auto"/>
              <w:rPr>
                <w:rFonts w:ascii="宋体" w:hAnsi="宋体" w:eastAsia="宋体" w:cs="宋体"/>
                <w:kern w:val="2"/>
                <w:sz w:val="21"/>
                <w:szCs w:val="21"/>
                <w:lang w:val="en-US" w:eastAsia="zh-CN" w:bidi="ar-SA"/>
              </w:rPr>
            </w:pPr>
            <w:r>
              <w:rPr>
                <w:rFonts w:ascii="宋体" w:hAnsi="宋体" w:eastAsia="宋体" w:cs="宋体"/>
                <w:spacing w:val="-3"/>
                <w:sz w:val="21"/>
                <w:szCs w:val="21"/>
              </w:rPr>
              <w:t>线盘</w:t>
            </w:r>
          </w:p>
        </w:tc>
        <w:tc>
          <w:tcPr>
            <w:tcW w:w="677" w:type="dxa"/>
            <w:vAlign w:val="top"/>
          </w:tcPr>
          <w:p>
            <w:pPr>
              <w:keepNext w:val="0"/>
              <w:keepLines w:val="0"/>
              <w:pageBreakBefore w:val="0"/>
              <w:widowControl w:val="0"/>
              <w:kinsoku/>
              <w:wordWrap/>
              <w:overflowPunct/>
              <w:topLinePunct w:val="0"/>
              <w:autoSpaceDE/>
              <w:autoSpaceDN/>
              <w:bidi w:val="0"/>
              <w:adjustRightInd/>
              <w:snapToGrid/>
              <w:spacing w:before="54" w:line="280" w:lineRule="exact"/>
              <w:ind w:left="112" w:leftChars="0"/>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1套</w:t>
            </w:r>
          </w:p>
        </w:tc>
        <w:tc>
          <w:tcPr>
            <w:tcW w:w="5639" w:type="dxa"/>
            <w:vAlign w:val="top"/>
          </w:tcPr>
          <w:p>
            <w:pPr>
              <w:keepNext w:val="0"/>
              <w:keepLines w:val="0"/>
              <w:pageBreakBefore w:val="0"/>
              <w:widowControl w:val="0"/>
              <w:kinsoku/>
              <w:wordWrap/>
              <w:overflowPunct/>
              <w:topLinePunct w:val="0"/>
              <w:autoSpaceDE/>
              <w:autoSpaceDN/>
              <w:bidi w:val="0"/>
              <w:adjustRightInd/>
              <w:snapToGrid/>
              <w:spacing w:before="53" w:line="280" w:lineRule="exact"/>
              <w:ind w:left="123" w:leftChars="0"/>
              <w:textAlignment w:val="auto"/>
              <w:rPr>
                <w:rFonts w:ascii="宋体" w:hAnsi="宋体" w:eastAsia="宋体" w:cs="宋体"/>
                <w:kern w:val="2"/>
                <w:sz w:val="21"/>
                <w:szCs w:val="21"/>
                <w:lang w:val="en-US" w:eastAsia="zh-CN" w:bidi="ar-SA"/>
              </w:rPr>
            </w:pPr>
            <w:r>
              <w:rPr>
                <w:rFonts w:ascii="宋体" w:hAnsi="宋体" w:eastAsia="宋体" w:cs="宋体"/>
                <w:spacing w:val="9"/>
                <w:sz w:val="21"/>
                <w:szCs w:val="21"/>
              </w:rPr>
              <w:t>手动线缆，2*6</w:t>
            </w:r>
            <w:r>
              <w:rPr>
                <w:rFonts w:ascii="宋体" w:hAnsi="宋体" w:eastAsia="宋体" w:cs="宋体"/>
                <w:sz w:val="21"/>
                <w:szCs w:val="21"/>
              </w:rPr>
              <w:t>mm</w:t>
            </w:r>
            <w:r>
              <w:rPr>
                <w:rFonts w:ascii="宋体" w:hAnsi="宋体" w:eastAsia="宋体" w:cs="宋体"/>
                <w:spacing w:val="9"/>
                <w:sz w:val="21"/>
                <w:szCs w:val="21"/>
              </w:rPr>
              <w:t>²线缆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spacing w:before="257" w:line="280" w:lineRule="exact"/>
              <w:ind w:left="64"/>
              <w:jc w:val="center"/>
              <w:textAlignment w:val="auto"/>
              <w:rPr>
                <w:rFonts w:ascii="宋体" w:hAnsi="宋体" w:eastAsia="宋体" w:cs="宋体"/>
                <w:spacing w:val="-4"/>
                <w:sz w:val="21"/>
                <w:szCs w:val="21"/>
              </w:rPr>
            </w:pPr>
          </w:p>
        </w:tc>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before="73" w:line="280" w:lineRule="exact"/>
              <w:ind w:left="131" w:right="128"/>
              <w:jc w:val="center"/>
              <w:textAlignment w:val="auto"/>
              <w:rPr>
                <w:rFonts w:ascii="宋体" w:hAnsi="宋体" w:eastAsia="宋体" w:cs="宋体"/>
                <w:spacing w:val="4"/>
                <w:sz w:val="21"/>
                <w:szCs w:val="21"/>
              </w:rPr>
            </w:pPr>
          </w:p>
        </w:tc>
        <w:tc>
          <w:tcPr>
            <w:tcW w:w="1303" w:type="dxa"/>
            <w:vAlign w:val="top"/>
          </w:tcPr>
          <w:p>
            <w:pPr>
              <w:keepNext w:val="0"/>
              <w:keepLines w:val="0"/>
              <w:pageBreakBefore w:val="0"/>
              <w:widowControl w:val="0"/>
              <w:kinsoku/>
              <w:wordWrap/>
              <w:overflowPunct/>
              <w:topLinePunct w:val="0"/>
              <w:autoSpaceDE/>
              <w:autoSpaceDN/>
              <w:bidi w:val="0"/>
              <w:adjustRightInd/>
              <w:snapToGrid/>
              <w:spacing w:before="203" w:line="280" w:lineRule="exact"/>
              <w:ind w:left="172" w:leftChars="0"/>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整车线束</w:t>
            </w:r>
          </w:p>
        </w:tc>
        <w:tc>
          <w:tcPr>
            <w:tcW w:w="677" w:type="dxa"/>
            <w:vAlign w:val="top"/>
          </w:tcPr>
          <w:p>
            <w:pPr>
              <w:keepNext w:val="0"/>
              <w:keepLines w:val="0"/>
              <w:pageBreakBefore w:val="0"/>
              <w:widowControl w:val="0"/>
              <w:kinsoku/>
              <w:wordWrap/>
              <w:overflowPunct/>
              <w:topLinePunct w:val="0"/>
              <w:autoSpaceDE/>
              <w:autoSpaceDN/>
              <w:bidi w:val="0"/>
              <w:adjustRightInd/>
              <w:snapToGrid/>
              <w:spacing w:before="204" w:line="280" w:lineRule="exact"/>
              <w:ind w:left="112" w:leftChars="0"/>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1套</w:t>
            </w:r>
          </w:p>
        </w:tc>
        <w:tc>
          <w:tcPr>
            <w:tcW w:w="5639" w:type="dxa"/>
            <w:vAlign w:val="top"/>
          </w:tcPr>
          <w:p>
            <w:pPr>
              <w:keepNext w:val="0"/>
              <w:keepLines w:val="0"/>
              <w:pageBreakBefore w:val="0"/>
              <w:widowControl w:val="0"/>
              <w:kinsoku/>
              <w:wordWrap/>
              <w:overflowPunct/>
              <w:topLinePunct w:val="0"/>
              <w:autoSpaceDE/>
              <w:autoSpaceDN/>
              <w:bidi w:val="0"/>
              <w:adjustRightInd/>
              <w:snapToGrid/>
              <w:spacing w:before="69" w:line="280" w:lineRule="exact"/>
              <w:ind w:left="123" w:leftChars="0" w:right="349" w:rightChars="0"/>
              <w:textAlignment w:val="auto"/>
              <w:rPr>
                <w:rFonts w:ascii="宋体" w:hAnsi="宋体" w:eastAsia="宋体" w:cs="宋体"/>
                <w:kern w:val="2"/>
                <w:sz w:val="20"/>
                <w:szCs w:val="20"/>
                <w:lang w:val="en-US" w:eastAsia="zh-CN" w:bidi="ar-SA"/>
              </w:rPr>
            </w:pPr>
            <w:r>
              <w:rPr>
                <w:rFonts w:ascii="宋体" w:hAnsi="宋体" w:eastAsia="宋体" w:cs="宋体"/>
                <w:spacing w:val="14"/>
                <w:sz w:val="20"/>
                <w:szCs w:val="20"/>
              </w:rPr>
              <w:t>高低压及信号线分离，国标：</w:t>
            </w:r>
            <w:r>
              <w:rPr>
                <w:rFonts w:ascii="宋体" w:hAnsi="宋体" w:eastAsia="宋体" w:cs="宋体"/>
                <w:sz w:val="20"/>
                <w:szCs w:val="20"/>
              </w:rPr>
              <w:t>JB</w:t>
            </w:r>
            <w:r>
              <w:rPr>
                <w:rFonts w:ascii="宋体" w:hAnsi="宋体" w:eastAsia="宋体" w:cs="宋体"/>
                <w:spacing w:val="14"/>
                <w:sz w:val="20"/>
                <w:szCs w:val="20"/>
              </w:rPr>
              <w:t>/T8139</w:t>
            </w:r>
            <w:r>
              <w:rPr>
                <w:rFonts w:ascii="宋体" w:hAnsi="宋体" w:eastAsia="宋体" w:cs="宋体"/>
                <w:sz w:val="20"/>
                <w:szCs w:val="20"/>
              </w:rPr>
              <w:t>QVR</w:t>
            </w:r>
            <w:r>
              <w:rPr>
                <w:rFonts w:ascii="宋体" w:hAnsi="宋体" w:eastAsia="宋体" w:cs="宋体"/>
                <w:spacing w:val="14"/>
                <w:sz w:val="20"/>
                <w:szCs w:val="20"/>
              </w:rPr>
              <w:t>,线径：</w:t>
            </w:r>
            <w:r>
              <w:rPr>
                <w:rFonts w:ascii="宋体" w:hAnsi="宋体" w:eastAsia="宋体" w:cs="宋体"/>
                <w:spacing w:val="17"/>
                <w:sz w:val="20"/>
                <w:szCs w:val="20"/>
              </w:rPr>
              <w:t xml:space="preserve"> </w:t>
            </w:r>
            <w:r>
              <w:rPr>
                <w:rFonts w:ascii="宋体" w:hAnsi="宋体" w:eastAsia="宋体" w:cs="宋体"/>
                <w:spacing w:val="5"/>
                <w:sz w:val="20"/>
                <w:szCs w:val="20"/>
              </w:rPr>
              <w:t>1.5</w:t>
            </w:r>
            <w:r>
              <w:rPr>
                <w:rFonts w:ascii="宋体" w:hAnsi="宋体" w:eastAsia="宋体" w:cs="宋体"/>
                <w:sz w:val="20"/>
                <w:szCs w:val="20"/>
              </w:rPr>
              <w:t>mm</w:t>
            </w:r>
            <w:r>
              <w:rPr>
                <w:rFonts w:ascii="宋体" w:hAnsi="宋体" w:eastAsia="宋体" w:cs="宋体"/>
                <w:spacing w:val="5"/>
                <w:sz w:val="20"/>
                <w:szCs w:val="20"/>
              </w:rPr>
              <w:t>2/2.5</w:t>
            </w:r>
            <w:r>
              <w:rPr>
                <w:rFonts w:ascii="宋体" w:hAnsi="宋体" w:eastAsia="宋体" w:cs="宋体"/>
                <w:sz w:val="20"/>
                <w:szCs w:val="20"/>
              </w:rPr>
              <w:t>mm</w:t>
            </w:r>
            <w:r>
              <w:rPr>
                <w:rFonts w:ascii="宋体" w:hAnsi="宋体" w:eastAsia="宋体" w:cs="宋体"/>
                <w:spacing w:val="5"/>
                <w:sz w:val="20"/>
                <w:szCs w:val="20"/>
              </w:rPr>
              <w:t>2/4</w:t>
            </w:r>
            <w:r>
              <w:rPr>
                <w:rFonts w:ascii="宋体" w:hAnsi="宋体" w:eastAsia="宋体" w:cs="宋体"/>
                <w:sz w:val="20"/>
                <w:szCs w:val="20"/>
              </w:rPr>
              <w:t>mm</w:t>
            </w:r>
            <w:r>
              <w:rPr>
                <w:rFonts w:ascii="宋体" w:hAnsi="宋体" w:eastAsia="宋体" w:cs="宋体"/>
                <w:spacing w:val="5"/>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spacing w:before="257" w:line="280" w:lineRule="exact"/>
              <w:ind w:left="64"/>
              <w:jc w:val="center"/>
              <w:textAlignment w:val="auto"/>
              <w:rPr>
                <w:rFonts w:ascii="宋体" w:hAnsi="宋体" w:eastAsia="宋体" w:cs="宋体"/>
                <w:spacing w:val="-4"/>
                <w:sz w:val="21"/>
                <w:szCs w:val="21"/>
              </w:rPr>
            </w:pPr>
          </w:p>
        </w:tc>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before="73" w:line="280" w:lineRule="exact"/>
              <w:ind w:left="131" w:right="128"/>
              <w:jc w:val="center"/>
              <w:textAlignment w:val="auto"/>
              <w:rPr>
                <w:rFonts w:ascii="宋体" w:hAnsi="宋体" w:eastAsia="宋体" w:cs="宋体"/>
                <w:spacing w:val="4"/>
                <w:sz w:val="21"/>
                <w:szCs w:val="21"/>
              </w:rPr>
            </w:pPr>
          </w:p>
        </w:tc>
        <w:tc>
          <w:tcPr>
            <w:tcW w:w="1303" w:type="dxa"/>
            <w:vAlign w:val="top"/>
          </w:tcPr>
          <w:p>
            <w:pPr>
              <w:keepNext w:val="0"/>
              <w:keepLines w:val="0"/>
              <w:pageBreakBefore w:val="0"/>
              <w:widowControl w:val="0"/>
              <w:kinsoku/>
              <w:wordWrap/>
              <w:overflowPunct/>
              <w:topLinePunct w:val="0"/>
              <w:autoSpaceDE/>
              <w:autoSpaceDN/>
              <w:bidi w:val="0"/>
              <w:adjustRightInd/>
              <w:snapToGrid/>
              <w:spacing w:before="66" w:line="280" w:lineRule="exact"/>
              <w:ind w:left="492" w:leftChars="0" w:right="177" w:rightChars="0" w:hanging="320" w:firstLineChars="0"/>
              <w:textAlignment w:val="auto"/>
              <w:rPr>
                <w:rFonts w:ascii="宋体" w:hAnsi="宋体" w:eastAsia="宋体" w:cs="宋体"/>
                <w:kern w:val="2"/>
                <w:sz w:val="20"/>
                <w:szCs w:val="20"/>
                <w:lang w:val="en-US" w:eastAsia="zh-CN" w:bidi="ar-SA"/>
              </w:rPr>
            </w:pPr>
            <w:r>
              <w:rPr>
                <w:rFonts w:ascii="宋体" w:hAnsi="宋体" w:eastAsia="宋体" w:cs="宋体"/>
                <w:spacing w:val="12"/>
                <w:sz w:val="20"/>
                <w:szCs w:val="20"/>
              </w:rPr>
              <w:t>电源逆变</w:t>
            </w:r>
            <w:r>
              <w:rPr>
                <w:rFonts w:ascii="宋体" w:hAnsi="宋体" w:eastAsia="宋体" w:cs="宋体"/>
                <w:sz w:val="20"/>
                <w:szCs w:val="20"/>
              </w:rPr>
              <w:t xml:space="preserve"> </w:t>
            </w:r>
            <w:r>
              <w:rPr>
                <w:rFonts w:ascii="宋体" w:hAnsi="宋体" w:eastAsia="宋体" w:cs="宋体"/>
                <w:spacing w:val="1"/>
                <w:sz w:val="20"/>
                <w:szCs w:val="20"/>
              </w:rPr>
              <w:t>器</w:t>
            </w:r>
          </w:p>
        </w:tc>
        <w:tc>
          <w:tcPr>
            <w:tcW w:w="677" w:type="dxa"/>
            <w:vAlign w:val="top"/>
          </w:tcPr>
          <w:p>
            <w:pPr>
              <w:keepNext w:val="0"/>
              <w:keepLines w:val="0"/>
              <w:pageBreakBefore w:val="0"/>
              <w:widowControl w:val="0"/>
              <w:kinsoku/>
              <w:wordWrap/>
              <w:overflowPunct/>
              <w:topLinePunct w:val="0"/>
              <w:autoSpaceDE/>
              <w:autoSpaceDN/>
              <w:bidi w:val="0"/>
              <w:adjustRightInd/>
              <w:snapToGrid/>
              <w:spacing w:before="205" w:line="280" w:lineRule="exact"/>
              <w:ind w:left="112" w:leftChars="0"/>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1套</w:t>
            </w:r>
          </w:p>
        </w:tc>
        <w:tc>
          <w:tcPr>
            <w:tcW w:w="5639" w:type="dxa"/>
            <w:vAlign w:val="top"/>
          </w:tcPr>
          <w:p>
            <w:pPr>
              <w:keepNext w:val="0"/>
              <w:keepLines w:val="0"/>
              <w:pageBreakBefore w:val="0"/>
              <w:widowControl w:val="0"/>
              <w:kinsoku/>
              <w:wordWrap/>
              <w:overflowPunct/>
              <w:topLinePunct w:val="0"/>
              <w:autoSpaceDE/>
              <w:autoSpaceDN/>
              <w:bidi w:val="0"/>
              <w:adjustRightInd/>
              <w:snapToGrid/>
              <w:spacing w:before="61" w:line="280" w:lineRule="exact"/>
              <w:ind w:left="123" w:leftChars="0" w:right="125" w:rightChars="0"/>
              <w:textAlignment w:val="auto"/>
              <w:rPr>
                <w:rFonts w:ascii="宋体" w:hAnsi="宋体" w:eastAsia="宋体" w:cs="宋体"/>
                <w:kern w:val="2"/>
                <w:sz w:val="21"/>
                <w:szCs w:val="21"/>
                <w:lang w:val="en-US" w:eastAsia="zh-CN" w:bidi="ar-SA"/>
              </w:rPr>
            </w:pPr>
            <w:r>
              <w:rPr>
                <w:rFonts w:ascii="宋体" w:hAnsi="宋体" w:eastAsia="宋体" w:cs="宋体"/>
                <w:sz w:val="21"/>
                <w:szCs w:val="21"/>
              </w:rPr>
              <w:t>DC</w:t>
            </w:r>
            <w:r>
              <w:rPr>
                <w:rFonts w:ascii="宋体" w:hAnsi="宋体" w:eastAsia="宋体" w:cs="宋体"/>
                <w:spacing w:val="13"/>
                <w:sz w:val="21"/>
                <w:szCs w:val="21"/>
              </w:rPr>
              <w:t>12V转</w:t>
            </w:r>
            <w:r>
              <w:rPr>
                <w:rFonts w:ascii="宋体" w:hAnsi="宋体" w:eastAsia="宋体" w:cs="宋体"/>
                <w:sz w:val="21"/>
                <w:szCs w:val="21"/>
              </w:rPr>
              <w:t>AC</w:t>
            </w:r>
            <w:r>
              <w:rPr>
                <w:rFonts w:ascii="宋体" w:hAnsi="宋体" w:eastAsia="宋体" w:cs="宋体"/>
                <w:spacing w:val="13"/>
                <w:sz w:val="21"/>
                <w:szCs w:val="21"/>
              </w:rPr>
              <w:t>220V,输入电压范围：</w:t>
            </w:r>
            <w:r>
              <w:rPr>
                <w:rFonts w:ascii="宋体" w:hAnsi="宋体" w:eastAsia="宋体" w:cs="宋体"/>
                <w:sz w:val="21"/>
                <w:szCs w:val="21"/>
              </w:rPr>
              <w:t>DC</w:t>
            </w:r>
            <w:r>
              <w:rPr>
                <w:rFonts w:ascii="宋体" w:hAnsi="宋体" w:eastAsia="宋体" w:cs="宋体"/>
                <w:spacing w:val="13"/>
                <w:sz w:val="21"/>
                <w:szCs w:val="21"/>
              </w:rPr>
              <w:t>11V-</w:t>
            </w:r>
            <w:r>
              <w:rPr>
                <w:rFonts w:ascii="宋体" w:hAnsi="宋体" w:eastAsia="宋体" w:cs="宋体"/>
                <w:sz w:val="21"/>
                <w:szCs w:val="21"/>
              </w:rPr>
              <w:t>DC</w:t>
            </w:r>
            <w:r>
              <w:rPr>
                <w:rFonts w:ascii="宋体" w:hAnsi="宋体" w:eastAsia="宋体" w:cs="宋体"/>
                <w:spacing w:val="13"/>
                <w:sz w:val="21"/>
                <w:szCs w:val="21"/>
              </w:rPr>
              <w:t>15V,最大</w:t>
            </w:r>
            <w:r>
              <w:rPr>
                <w:rFonts w:ascii="宋体" w:hAnsi="宋体" w:eastAsia="宋体" w:cs="宋体"/>
                <w:spacing w:val="10"/>
                <w:sz w:val="21"/>
                <w:szCs w:val="21"/>
              </w:rPr>
              <w:t xml:space="preserve"> </w:t>
            </w:r>
            <w:r>
              <w:rPr>
                <w:rFonts w:ascii="宋体" w:hAnsi="宋体" w:eastAsia="宋体" w:cs="宋体"/>
                <w:spacing w:val="-1"/>
                <w:sz w:val="21"/>
                <w:szCs w:val="21"/>
              </w:rPr>
              <w:t>输出功率：≥1500W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spacing w:before="257" w:line="280" w:lineRule="exact"/>
              <w:ind w:left="64"/>
              <w:jc w:val="center"/>
              <w:textAlignment w:val="auto"/>
              <w:rPr>
                <w:rFonts w:ascii="宋体" w:hAnsi="宋体" w:eastAsia="宋体" w:cs="宋体"/>
                <w:spacing w:val="-4"/>
                <w:sz w:val="21"/>
                <w:szCs w:val="21"/>
              </w:rPr>
            </w:pPr>
          </w:p>
        </w:tc>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before="73" w:line="280" w:lineRule="exact"/>
              <w:ind w:left="131" w:right="128"/>
              <w:jc w:val="center"/>
              <w:textAlignment w:val="auto"/>
              <w:rPr>
                <w:rFonts w:ascii="宋体" w:hAnsi="宋体" w:eastAsia="宋体" w:cs="宋体"/>
                <w:spacing w:val="4"/>
                <w:sz w:val="21"/>
                <w:szCs w:val="21"/>
              </w:rPr>
            </w:pPr>
          </w:p>
        </w:tc>
        <w:tc>
          <w:tcPr>
            <w:tcW w:w="1303" w:type="dxa"/>
            <w:vAlign w:val="top"/>
          </w:tcPr>
          <w:p>
            <w:pPr>
              <w:keepNext w:val="0"/>
              <w:keepLines w:val="0"/>
              <w:pageBreakBefore w:val="0"/>
              <w:widowControl w:val="0"/>
              <w:kinsoku/>
              <w:wordWrap/>
              <w:overflowPunct/>
              <w:topLinePunct w:val="0"/>
              <w:autoSpaceDE/>
              <w:autoSpaceDN/>
              <w:bidi w:val="0"/>
              <w:adjustRightInd/>
              <w:snapToGrid/>
              <w:spacing w:before="205" w:line="280" w:lineRule="exact"/>
              <w:ind w:left="172" w:leftChars="0"/>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多孔插座</w:t>
            </w:r>
          </w:p>
        </w:tc>
        <w:tc>
          <w:tcPr>
            <w:tcW w:w="677" w:type="dxa"/>
            <w:vAlign w:val="top"/>
          </w:tcPr>
          <w:p>
            <w:pPr>
              <w:keepNext w:val="0"/>
              <w:keepLines w:val="0"/>
              <w:pageBreakBefore w:val="0"/>
              <w:widowControl w:val="0"/>
              <w:kinsoku/>
              <w:wordWrap/>
              <w:overflowPunct/>
              <w:topLinePunct w:val="0"/>
              <w:autoSpaceDE/>
              <w:autoSpaceDN/>
              <w:bidi w:val="0"/>
              <w:adjustRightInd/>
              <w:snapToGrid/>
              <w:spacing w:before="204" w:line="280" w:lineRule="exact"/>
              <w:ind w:left="112" w:leftChars="0"/>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2个</w:t>
            </w:r>
          </w:p>
        </w:tc>
        <w:tc>
          <w:tcPr>
            <w:tcW w:w="5639" w:type="dxa"/>
            <w:vAlign w:val="top"/>
          </w:tcPr>
          <w:p>
            <w:pPr>
              <w:keepNext w:val="0"/>
              <w:keepLines w:val="0"/>
              <w:pageBreakBefore w:val="0"/>
              <w:widowControl w:val="0"/>
              <w:kinsoku/>
              <w:wordWrap/>
              <w:overflowPunct/>
              <w:topLinePunct w:val="0"/>
              <w:autoSpaceDE/>
              <w:autoSpaceDN/>
              <w:bidi w:val="0"/>
              <w:adjustRightInd/>
              <w:snapToGrid/>
              <w:spacing w:before="50" w:line="280" w:lineRule="exact"/>
              <w:ind w:left="123" w:leftChars="0" w:right="105" w:rightChars="0"/>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香槟金，7孔暗插，最大承受电流：10A,安装于小型控</w:t>
            </w:r>
            <w:r>
              <w:rPr>
                <w:rFonts w:ascii="宋体" w:hAnsi="宋体" w:eastAsia="宋体" w:cs="宋体"/>
                <w:spacing w:val="1"/>
                <w:sz w:val="21"/>
                <w:szCs w:val="21"/>
              </w:rPr>
              <w:t xml:space="preserve"> </w:t>
            </w:r>
            <w:r>
              <w:rPr>
                <w:rFonts w:ascii="宋体" w:hAnsi="宋体" w:eastAsia="宋体" w:cs="宋体"/>
                <w:spacing w:val="-2"/>
                <w:sz w:val="21"/>
                <w:szCs w:val="21"/>
              </w:rPr>
              <w:t>制柜面板上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585" w:type="dxa"/>
            <w:vMerge w:val="restart"/>
            <w:vAlign w:val="top"/>
          </w:tcPr>
          <w:p>
            <w:pPr>
              <w:keepNext w:val="0"/>
              <w:keepLines w:val="0"/>
              <w:pageBreakBefore w:val="0"/>
              <w:widowControl w:val="0"/>
              <w:kinsoku/>
              <w:wordWrap/>
              <w:overflowPunct/>
              <w:topLinePunct w:val="0"/>
              <w:autoSpaceDE/>
              <w:autoSpaceDN/>
              <w:bidi w:val="0"/>
              <w:adjustRightInd/>
              <w:snapToGrid/>
              <w:spacing w:before="268" w:line="280" w:lineRule="exact"/>
              <w:ind w:left="95" w:leftChars="0"/>
              <w:textAlignment w:val="auto"/>
              <w:rPr>
                <w:rFonts w:ascii="宋体" w:hAnsi="宋体" w:eastAsia="宋体" w:cs="宋体"/>
                <w:kern w:val="2"/>
                <w:sz w:val="21"/>
                <w:szCs w:val="21"/>
                <w:lang w:val="en-US" w:eastAsia="zh-CN" w:bidi="ar-SA"/>
              </w:rPr>
            </w:pPr>
            <w:r>
              <w:rPr>
                <w:rFonts w:ascii="宋体" w:hAnsi="宋体" w:eastAsia="宋体" w:cs="宋体"/>
                <w:spacing w:val="-3"/>
                <w:sz w:val="21"/>
                <w:szCs w:val="21"/>
              </w:rPr>
              <w:t>6.</w:t>
            </w:r>
          </w:p>
        </w:tc>
        <w:tc>
          <w:tcPr>
            <w:tcW w:w="753" w:type="dxa"/>
            <w:vMerge w:val="restart"/>
            <w:vAlign w:val="top"/>
          </w:tcPr>
          <w:p>
            <w:pPr>
              <w:keepNext w:val="0"/>
              <w:keepLines w:val="0"/>
              <w:pageBreakBefore w:val="0"/>
              <w:widowControl w:val="0"/>
              <w:kinsoku/>
              <w:wordWrap/>
              <w:overflowPunct/>
              <w:topLinePunct w:val="0"/>
              <w:autoSpaceDE/>
              <w:autoSpaceDN/>
              <w:bidi w:val="0"/>
              <w:adjustRightInd/>
              <w:snapToGrid/>
              <w:spacing w:before="74" w:line="280" w:lineRule="exact"/>
              <w:ind w:left="131" w:leftChars="0" w:right="127" w:rightChars="0"/>
              <w:textAlignment w:val="auto"/>
              <w:rPr>
                <w:rFonts w:ascii="宋体" w:hAnsi="宋体" w:eastAsia="宋体" w:cs="宋体"/>
                <w:kern w:val="2"/>
                <w:sz w:val="21"/>
                <w:szCs w:val="21"/>
                <w:lang w:val="en-US" w:eastAsia="zh-CN" w:bidi="ar-SA"/>
              </w:rPr>
            </w:pPr>
            <w:r>
              <w:rPr>
                <w:rFonts w:ascii="宋体" w:hAnsi="宋体" w:eastAsia="宋体" w:cs="宋体"/>
                <w:spacing w:val="5"/>
                <w:sz w:val="21"/>
                <w:szCs w:val="21"/>
              </w:rPr>
              <w:t>宣传</w:t>
            </w:r>
            <w:r>
              <w:rPr>
                <w:rFonts w:ascii="宋体" w:hAnsi="宋体" w:eastAsia="宋体" w:cs="宋体"/>
                <w:sz w:val="21"/>
                <w:szCs w:val="21"/>
              </w:rPr>
              <w:t xml:space="preserve"> </w:t>
            </w:r>
            <w:r>
              <w:rPr>
                <w:rFonts w:ascii="宋体" w:hAnsi="宋体" w:eastAsia="宋体" w:cs="宋体"/>
                <w:spacing w:val="4"/>
                <w:sz w:val="21"/>
                <w:szCs w:val="21"/>
              </w:rPr>
              <w:t>系统</w:t>
            </w:r>
          </w:p>
        </w:tc>
        <w:tc>
          <w:tcPr>
            <w:tcW w:w="1303" w:type="dxa"/>
            <w:vAlign w:val="top"/>
          </w:tcPr>
          <w:p>
            <w:pPr>
              <w:keepNext w:val="0"/>
              <w:keepLines w:val="0"/>
              <w:pageBreakBefore w:val="0"/>
              <w:widowControl w:val="0"/>
              <w:kinsoku/>
              <w:wordWrap/>
              <w:overflowPunct/>
              <w:topLinePunct w:val="0"/>
              <w:autoSpaceDE/>
              <w:autoSpaceDN/>
              <w:bidi w:val="0"/>
              <w:adjustRightInd/>
              <w:snapToGrid/>
              <w:spacing w:before="57" w:line="280" w:lineRule="exact"/>
              <w:ind w:left="172" w:leftChars="0"/>
              <w:textAlignment w:val="auto"/>
              <w:rPr>
                <w:rFonts w:ascii="宋体" w:hAnsi="宋体" w:eastAsia="宋体" w:cs="宋体"/>
                <w:kern w:val="2"/>
                <w:sz w:val="21"/>
                <w:szCs w:val="21"/>
                <w:lang w:val="en-US" w:eastAsia="zh-CN" w:bidi="ar-SA"/>
              </w:rPr>
            </w:pPr>
            <w:r>
              <w:rPr>
                <w:rFonts w:ascii="宋体" w:hAnsi="宋体" w:eastAsia="宋体" w:cs="宋体"/>
                <w:spacing w:val="4"/>
                <w:sz w:val="21"/>
                <w:szCs w:val="21"/>
              </w:rPr>
              <w:t>组合音响</w:t>
            </w:r>
          </w:p>
        </w:tc>
        <w:tc>
          <w:tcPr>
            <w:tcW w:w="677" w:type="dxa"/>
            <w:vAlign w:val="top"/>
          </w:tcPr>
          <w:p>
            <w:pPr>
              <w:keepNext w:val="0"/>
              <w:keepLines w:val="0"/>
              <w:pageBreakBefore w:val="0"/>
              <w:widowControl w:val="0"/>
              <w:kinsoku/>
              <w:wordWrap/>
              <w:overflowPunct/>
              <w:topLinePunct w:val="0"/>
              <w:autoSpaceDE/>
              <w:autoSpaceDN/>
              <w:bidi w:val="0"/>
              <w:adjustRightInd/>
              <w:snapToGrid/>
              <w:spacing w:before="55" w:line="280" w:lineRule="exact"/>
              <w:ind w:left="112" w:leftChars="0"/>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1套</w:t>
            </w:r>
          </w:p>
        </w:tc>
        <w:tc>
          <w:tcPr>
            <w:tcW w:w="5639" w:type="dxa"/>
            <w:vAlign w:val="top"/>
          </w:tcPr>
          <w:p>
            <w:pPr>
              <w:keepNext w:val="0"/>
              <w:keepLines w:val="0"/>
              <w:pageBreakBefore w:val="0"/>
              <w:widowControl w:val="0"/>
              <w:kinsoku/>
              <w:wordWrap/>
              <w:overflowPunct/>
              <w:topLinePunct w:val="0"/>
              <w:autoSpaceDE/>
              <w:autoSpaceDN/>
              <w:bidi w:val="0"/>
              <w:adjustRightInd/>
              <w:snapToGrid/>
              <w:spacing w:before="54" w:line="280" w:lineRule="exact"/>
              <w:ind w:left="123" w:leftChars="0"/>
              <w:textAlignment w:val="auto"/>
              <w:rPr>
                <w:rFonts w:ascii="宋体" w:hAnsi="宋体" w:eastAsia="宋体" w:cs="宋体"/>
                <w:kern w:val="2"/>
                <w:sz w:val="21"/>
                <w:szCs w:val="21"/>
                <w:lang w:val="en-US" w:eastAsia="zh-CN" w:bidi="ar-SA"/>
              </w:rPr>
            </w:pPr>
            <w:r>
              <w:rPr>
                <w:rFonts w:ascii="宋体" w:hAnsi="宋体" w:eastAsia="宋体" w:cs="宋体"/>
                <w:spacing w:val="16"/>
                <w:sz w:val="21"/>
                <w:szCs w:val="21"/>
              </w:rPr>
              <w:t>含</w:t>
            </w:r>
            <w:r>
              <w:rPr>
                <w:rFonts w:ascii="宋体" w:hAnsi="宋体" w:eastAsia="宋体" w:cs="宋体"/>
                <w:sz w:val="21"/>
                <w:szCs w:val="21"/>
              </w:rPr>
              <w:t>USB</w:t>
            </w:r>
            <w:r>
              <w:rPr>
                <w:rFonts w:ascii="宋体" w:hAnsi="宋体" w:eastAsia="宋体" w:cs="宋体"/>
                <w:spacing w:val="16"/>
                <w:sz w:val="21"/>
                <w:szCs w:val="21"/>
              </w:rPr>
              <w:t>接口，1路话筒输入1路线路输入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spacing w:before="257" w:line="280" w:lineRule="exact"/>
              <w:ind w:left="64"/>
              <w:jc w:val="center"/>
              <w:textAlignment w:val="auto"/>
              <w:rPr>
                <w:rFonts w:ascii="宋体" w:hAnsi="宋体" w:eastAsia="宋体" w:cs="宋体"/>
                <w:spacing w:val="-4"/>
                <w:sz w:val="21"/>
                <w:szCs w:val="21"/>
              </w:rPr>
            </w:pPr>
          </w:p>
        </w:tc>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before="73" w:line="280" w:lineRule="exact"/>
              <w:ind w:left="131" w:right="128"/>
              <w:jc w:val="center"/>
              <w:textAlignment w:val="auto"/>
              <w:rPr>
                <w:rFonts w:ascii="宋体" w:hAnsi="宋体" w:eastAsia="宋体" w:cs="宋体"/>
                <w:spacing w:val="4"/>
                <w:sz w:val="21"/>
                <w:szCs w:val="21"/>
              </w:rPr>
            </w:pPr>
          </w:p>
        </w:tc>
        <w:tc>
          <w:tcPr>
            <w:tcW w:w="1303" w:type="dxa"/>
            <w:vAlign w:val="top"/>
          </w:tcPr>
          <w:p>
            <w:pPr>
              <w:keepNext w:val="0"/>
              <w:keepLines w:val="0"/>
              <w:pageBreakBefore w:val="0"/>
              <w:widowControl w:val="0"/>
              <w:kinsoku/>
              <w:wordWrap/>
              <w:overflowPunct/>
              <w:topLinePunct w:val="0"/>
              <w:autoSpaceDE/>
              <w:autoSpaceDN/>
              <w:bidi w:val="0"/>
              <w:adjustRightInd/>
              <w:snapToGrid/>
              <w:spacing w:before="54" w:line="280" w:lineRule="exact"/>
              <w:ind w:left="172" w:leftChars="0"/>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长条音柱</w:t>
            </w:r>
          </w:p>
        </w:tc>
        <w:tc>
          <w:tcPr>
            <w:tcW w:w="677" w:type="dxa"/>
            <w:vAlign w:val="top"/>
          </w:tcPr>
          <w:p>
            <w:pPr>
              <w:keepNext w:val="0"/>
              <w:keepLines w:val="0"/>
              <w:pageBreakBefore w:val="0"/>
              <w:widowControl w:val="0"/>
              <w:kinsoku/>
              <w:wordWrap/>
              <w:overflowPunct/>
              <w:topLinePunct w:val="0"/>
              <w:autoSpaceDE/>
              <w:autoSpaceDN/>
              <w:bidi w:val="0"/>
              <w:adjustRightInd/>
              <w:snapToGrid/>
              <w:spacing w:before="57" w:line="280" w:lineRule="exact"/>
              <w:ind w:left="112" w:leftChars="0"/>
              <w:textAlignment w:val="auto"/>
              <w:rPr>
                <w:rFonts w:ascii="宋体" w:hAnsi="宋体" w:eastAsia="宋体" w:cs="宋体"/>
                <w:kern w:val="2"/>
                <w:sz w:val="21"/>
                <w:szCs w:val="21"/>
                <w:lang w:val="en-US" w:eastAsia="zh-CN" w:bidi="ar-SA"/>
              </w:rPr>
            </w:pPr>
            <w:r>
              <w:rPr>
                <w:rFonts w:ascii="宋体" w:hAnsi="宋体" w:eastAsia="宋体" w:cs="宋体"/>
                <w:spacing w:val="12"/>
                <w:sz w:val="21"/>
                <w:szCs w:val="21"/>
              </w:rPr>
              <w:t>2只</w:t>
            </w:r>
          </w:p>
        </w:tc>
        <w:tc>
          <w:tcPr>
            <w:tcW w:w="5639" w:type="dxa"/>
            <w:vAlign w:val="top"/>
          </w:tcPr>
          <w:p>
            <w:pPr>
              <w:keepNext w:val="0"/>
              <w:keepLines w:val="0"/>
              <w:pageBreakBefore w:val="0"/>
              <w:widowControl w:val="0"/>
              <w:kinsoku/>
              <w:wordWrap/>
              <w:overflowPunct/>
              <w:topLinePunct w:val="0"/>
              <w:autoSpaceDE/>
              <w:autoSpaceDN/>
              <w:bidi w:val="0"/>
              <w:adjustRightInd/>
              <w:snapToGrid/>
              <w:spacing w:before="54" w:line="280" w:lineRule="exact"/>
              <w:ind w:left="123" w:leftChars="0"/>
              <w:textAlignment w:val="auto"/>
              <w:rPr>
                <w:rFonts w:ascii="宋体" w:hAnsi="宋体" w:eastAsia="宋体" w:cs="宋体"/>
                <w:kern w:val="2"/>
                <w:sz w:val="21"/>
                <w:szCs w:val="21"/>
                <w:lang w:val="en-US" w:eastAsia="zh-CN" w:bidi="ar-SA"/>
              </w:rPr>
            </w:pPr>
            <w:r>
              <w:rPr>
                <w:rFonts w:ascii="宋体" w:hAnsi="宋体" w:eastAsia="宋体" w:cs="宋体"/>
                <w:sz w:val="21"/>
                <w:szCs w:val="21"/>
              </w:rPr>
              <w:t>定制小型长条音柱，车顶安装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585" w:type="dxa"/>
            <w:vMerge w:val="restart"/>
            <w:vAlign w:val="center"/>
          </w:tcPr>
          <w:p>
            <w:pPr>
              <w:keepNext w:val="0"/>
              <w:keepLines w:val="0"/>
              <w:pageBreakBefore w:val="0"/>
              <w:widowControl w:val="0"/>
              <w:kinsoku/>
              <w:wordWrap/>
              <w:overflowPunct/>
              <w:topLinePunct w:val="0"/>
              <w:autoSpaceDE/>
              <w:autoSpaceDN/>
              <w:bidi w:val="0"/>
              <w:adjustRightInd/>
              <w:snapToGrid/>
              <w:spacing w:before="68" w:line="280" w:lineRule="exact"/>
              <w:ind w:left="95" w:leftChars="0"/>
              <w:jc w:val="center"/>
              <w:textAlignment w:val="auto"/>
              <w:rPr>
                <w:rFonts w:ascii="宋体" w:hAnsi="宋体" w:eastAsia="宋体" w:cs="宋体"/>
                <w:kern w:val="2"/>
                <w:sz w:val="21"/>
                <w:szCs w:val="21"/>
                <w:lang w:val="en-US" w:eastAsia="zh-CN" w:bidi="ar-SA"/>
              </w:rPr>
            </w:pPr>
            <w:r>
              <w:rPr>
                <w:rFonts w:ascii="宋体" w:hAnsi="宋体" w:eastAsia="宋体" w:cs="宋体"/>
                <w:sz w:val="21"/>
                <w:szCs w:val="21"/>
              </w:rPr>
              <w:t>7</w:t>
            </w:r>
          </w:p>
        </w:tc>
        <w:tc>
          <w:tcPr>
            <w:tcW w:w="753" w:type="dxa"/>
            <w:vMerge w:val="restart"/>
            <w:vAlign w:val="center"/>
          </w:tcPr>
          <w:p>
            <w:pPr>
              <w:keepNext w:val="0"/>
              <w:keepLines w:val="0"/>
              <w:pageBreakBefore w:val="0"/>
              <w:widowControl w:val="0"/>
              <w:kinsoku/>
              <w:wordWrap/>
              <w:overflowPunct/>
              <w:topLinePunct w:val="0"/>
              <w:autoSpaceDE/>
              <w:autoSpaceDN/>
              <w:bidi w:val="0"/>
              <w:adjustRightInd/>
              <w:snapToGrid/>
              <w:spacing w:before="68" w:line="280" w:lineRule="exact"/>
              <w:ind w:left="131" w:leftChars="0" w:right="128" w:rightChars="0"/>
              <w:jc w:val="center"/>
              <w:textAlignment w:val="auto"/>
              <w:rPr>
                <w:rFonts w:ascii="宋体" w:hAnsi="宋体" w:eastAsia="宋体" w:cs="宋体"/>
                <w:kern w:val="2"/>
                <w:sz w:val="21"/>
                <w:szCs w:val="21"/>
                <w:lang w:val="en-US" w:eastAsia="zh-CN" w:bidi="ar-SA"/>
              </w:rPr>
            </w:pPr>
            <w:r>
              <w:rPr>
                <w:rFonts w:ascii="宋体" w:hAnsi="宋体" w:eastAsia="宋体" w:cs="宋体"/>
                <w:spacing w:val="4"/>
                <w:sz w:val="21"/>
                <w:szCs w:val="21"/>
              </w:rPr>
              <w:t>警示</w:t>
            </w:r>
            <w:r>
              <w:rPr>
                <w:rFonts w:ascii="宋体" w:hAnsi="宋体" w:eastAsia="宋体" w:cs="宋体"/>
                <w:sz w:val="21"/>
                <w:szCs w:val="21"/>
              </w:rPr>
              <w:t xml:space="preserve"> </w:t>
            </w:r>
            <w:r>
              <w:rPr>
                <w:rFonts w:ascii="宋体" w:hAnsi="宋体" w:eastAsia="宋体" w:cs="宋体"/>
                <w:spacing w:val="4"/>
                <w:sz w:val="21"/>
                <w:szCs w:val="21"/>
              </w:rPr>
              <w:t>系统</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before="64" w:line="280" w:lineRule="exact"/>
              <w:ind w:left="172"/>
              <w:jc w:val="center"/>
              <w:textAlignment w:val="auto"/>
              <w:rPr>
                <w:rFonts w:ascii="宋体" w:hAnsi="宋体" w:eastAsia="宋体" w:cs="宋体"/>
                <w:sz w:val="21"/>
                <w:szCs w:val="21"/>
              </w:rPr>
            </w:pPr>
            <w:r>
              <w:rPr>
                <w:rFonts w:ascii="宋体" w:hAnsi="宋体" w:eastAsia="宋体" w:cs="宋体"/>
                <w:spacing w:val="-2"/>
                <w:sz w:val="21"/>
                <w:szCs w:val="21"/>
              </w:rPr>
              <w:t>车顶工字</w:t>
            </w:r>
          </w:p>
          <w:p>
            <w:pPr>
              <w:keepNext w:val="0"/>
              <w:keepLines w:val="0"/>
              <w:pageBreakBefore w:val="0"/>
              <w:widowControl w:val="0"/>
              <w:kinsoku/>
              <w:wordWrap/>
              <w:overflowPunct/>
              <w:topLinePunct w:val="0"/>
              <w:autoSpaceDE/>
              <w:autoSpaceDN/>
              <w:bidi w:val="0"/>
              <w:adjustRightInd/>
              <w:snapToGrid/>
              <w:spacing w:before="51" w:line="280" w:lineRule="exact"/>
              <w:ind w:left="282" w:leftChars="0"/>
              <w:jc w:val="center"/>
              <w:textAlignment w:val="auto"/>
              <w:rPr>
                <w:rFonts w:ascii="宋体" w:hAnsi="宋体" w:eastAsia="宋体" w:cs="宋体"/>
                <w:kern w:val="2"/>
                <w:sz w:val="21"/>
                <w:szCs w:val="21"/>
                <w:lang w:val="en-US" w:eastAsia="zh-CN" w:bidi="ar-SA"/>
              </w:rPr>
            </w:pPr>
            <w:r>
              <w:rPr>
                <w:rFonts w:ascii="宋体" w:hAnsi="宋体" w:eastAsia="宋体" w:cs="宋体"/>
                <w:spacing w:val="4"/>
                <w:sz w:val="21"/>
                <w:szCs w:val="21"/>
              </w:rPr>
              <w:t>型警灯</w:t>
            </w:r>
          </w:p>
        </w:tc>
        <w:tc>
          <w:tcPr>
            <w:tcW w:w="677" w:type="dxa"/>
            <w:vAlign w:val="center"/>
          </w:tcPr>
          <w:p>
            <w:pPr>
              <w:keepNext w:val="0"/>
              <w:keepLines w:val="0"/>
              <w:pageBreakBefore w:val="0"/>
              <w:widowControl w:val="0"/>
              <w:kinsoku/>
              <w:wordWrap/>
              <w:overflowPunct/>
              <w:topLinePunct w:val="0"/>
              <w:autoSpaceDE/>
              <w:autoSpaceDN/>
              <w:bidi w:val="0"/>
              <w:adjustRightInd/>
              <w:snapToGrid/>
              <w:spacing w:before="205" w:line="280" w:lineRule="exact"/>
              <w:ind w:left="112" w:leftChars="0"/>
              <w:jc w:val="center"/>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1套</w:t>
            </w:r>
          </w:p>
        </w:tc>
        <w:tc>
          <w:tcPr>
            <w:tcW w:w="5639" w:type="dxa"/>
            <w:vAlign w:val="center"/>
          </w:tcPr>
          <w:p>
            <w:pPr>
              <w:keepNext w:val="0"/>
              <w:keepLines w:val="0"/>
              <w:pageBreakBefore w:val="0"/>
              <w:widowControl w:val="0"/>
              <w:kinsoku/>
              <w:wordWrap/>
              <w:overflowPunct/>
              <w:topLinePunct w:val="0"/>
              <w:autoSpaceDE/>
              <w:autoSpaceDN/>
              <w:bidi w:val="0"/>
              <w:adjustRightInd/>
              <w:snapToGrid/>
              <w:spacing w:before="60" w:line="280" w:lineRule="exact"/>
              <w:ind w:left="123" w:leftChars="0" w:right="41" w:rightChars="0"/>
              <w:jc w:val="left"/>
              <w:textAlignment w:val="auto"/>
              <w:rPr>
                <w:rFonts w:ascii="宋体" w:hAnsi="宋体" w:eastAsia="宋体" w:cs="宋体"/>
                <w:kern w:val="2"/>
                <w:sz w:val="21"/>
                <w:szCs w:val="21"/>
                <w:lang w:val="en-US" w:eastAsia="zh-CN" w:bidi="ar-SA"/>
              </w:rPr>
            </w:pPr>
            <w:r>
              <w:rPr>
                <w:rFonts w:ascii="宋体" w:hAnsi="宋体" w:eastAsia="宋体" w:cs="宋体"/>
                <w:sz w:val="21"/>
                <w:szCs w:val="21"/>
              </w:rPr>
              <w:t>DC</w:t>
            </w:r>
            <w:r>
              <w:rPr>
                <w:rFonts w:ascii="宋体" w:hAnsi="宋体" w:eastAsia="宋体" w:cs="宋体"/>
                <w:spacing w:val="9"/>
                <w:sz w:val="21"/>
                <w:szCs w:val="21"/>
              </w:rPr>
              <w:t>12V,P≤80W,</w:t>
            </w:r>
            <w:r>
              <w:rPr>
                <w:rFonts w:ascii="宋体" w:hAnsi="宋体" w:eastAsia="宋体" w:cs="宋体"/>
                <w:sz w:val="21"/>
                <w:szCs w:val="21"/>
              </w:rPr>
              <w:t>LED</w:t>
            </w:r>
            <w:r>
              <w:rPr>
                <w:rFonts w:ascii="宋体" w:hAnsi="宋体" w:eastAsia="宋体" w:cs="宋体"/>
                <w:spacing w:val="9"/>
                <w:sz w:val="21"/>
                <w:szCs w:val="21"/>
              </w:rPr>
              <w:t>脉冲长排警灯，二级发光强度</w:t>
            </w:r>
            <w:r>
              <w:rPr>
                <w:rFonts w:ascii="宋体" w:hAnsi="宋体" w:eastAsia="宋体" w:cs="宋体"/>
                <w:spacing w:val="8"/>
                <w:sz w:val="21"/>
                <w:szCs w:val="21"/>
              </w:rPr>
              <w:t>；喇</w:t>
            </w:r>
            <w:r>
              <w:rPr>
                <w:rFonts w:ascii="宋体" w:hAnsi="宋体" w:eastAsia="宋体" w:cs="宋体"/>
                <w:sz w:val="21"/>
                <w:szCs w:val="21"/>
              </w:rPr>
              <w:t xml:space="preserve"> 叭功率：≥100W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spacing w:before="257" w:line="280" w:lineRule="exact"/>
              <w:ind w:left="64"/>
              <w:jc w:val="center"/>
              <w:textAlignment w:val="auto"/>
              <w:rPr>
                <w:rFonts w:ascii="宋体" w:hAnsi="宋体" w:eastAsia="宋体" w:cs="宋体"/>
                <w:spacing w:val="-4"/>
                <w:sz w:val="21"/>
                <w:szCs w:val="21"/>
              </w:rPr>
            </w:pPr>
          </w:p>
        </w:tc>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before="73" w:line="280" w:lineRule="exact"/>
              <w:ind w:left="131" w:right="128"/>
              <w:jc w:val="center"/>
              <w:textAlignment w:val="auto"/>
              <w:rPr>
                <w:rFonts w:ascii="宋体" w:hAnsi="宋体" w:eastAsia="宋体" w:cs="宋体"/>
                <w:spacing w:val="4"/>
                <w:sz w:val="21"/>
                <w:szCs w:val="21"/>
              </w:rPr>
            </w:pPr>
          </w:p>
        </w:tc>
        <w:tc>
          <w:tcPr>
            <w:tcW w:w="1303" w:type="dxa"/>
            <w:vAlign w:val="center"/>
          </w:tcPr>
          <w:p>
            <w:pPr>
              <w:keepNext w:val="0"/>
              <w:keepLines w:val="0"/>
              <w:pageBreakBefore w:val="0"/>
              <w:widowControl w:val="0"/>
              <w:kinsoku/>
              <w:wordWrap/>
              <w:overflowPunct/>
              <w:topLinePunct w:val="0"/>
              <w:autoSpaceDE/>
              <w:autoSpaceDN/>
              <w:bidi w:val="0"/>
              <w:adjustRightInd/>
              <w:snapToGrid/>
              <w:spacing w:before="84" w:line="280" w:lineRule="exact"/>
              <w:ind w:left="172" w:leftChars="0" w:right="172" w:rightChars="0"/>
              <w:jc w:val="center"/>
              <w:textAlignment w:val="auto"/>
              <w:rPr>
                <w:rFonts w:ascii="宋体" w:hAnsi="宋体" w:eastAsia="宋体" w:cs="宋体"/>
                <w:kern w:val="2"/>
                <w:sz w:val="21"/>
                <w:szCs w:val="21"/>
                <w:lang w:val="en-US" w:eastAsia="zh-CN" w:bidi="ar-SA"/>
              </w:rPr>
            </w:pPr>
            <w:r>
              <w:rPr>
                <w:rFonts w:ascii="宋体" w:hAnsi="宋体" w:eastAsia="宋体" w:cs="宋体"/>
                <w:spacing w:val="3"/>
                <w:sz w:val="21"/>
                <w:szCs w:val="21"/>
              </w:rPr>
              <w:t>车身两侧</w:t>
            </w:r>
            <w:r>
              <w:rPr>
                <w:rFonts w:ascii="宋体" w:hAnsi="宋体" w:eastAsia="宋体" w:cs="宋体"/>
                <w:spacing w:val="1"/>
                <w:sz w:val="21"/>
                <w:szCs w:val="21"/>
              </w:rPr>
              <w:t xml:space="preserve"> </w:t>
            </w:r>
            <w:r>
              <w:rPr>
                <w:rFonts w:ascii="宋体" w:hAnsi="宋体" w:eastAsia="宋体" w:cs="宋体"/>
                <w:spacing w:val="3"/>
                <w:sz w:val="21"/>
                <w:szCs w:val="21"/>
              </w:rPr>
              <w:t>爆闪方灯</w:t>
            </w:r>
          </w:p>
        </w:tc>
        <w:tc>
          <w:tcPr>
            <w:tcW w:w="677" w:type="dxa"/>
            <w:vAlign w:val="center"/>
          </w:tcPr>
          <w:p>
            <w:pPr>
              <w:keepNext w:val="0"/>
              <w:keepLines w:val="0"/>
              <w:pageBreakBefore w:val="0"/>
              <w:widowControl w:val="0"/>
              <w:kinsoku/>
              <w:wordWrap/>
              <w:overflowPunct/>
              <w:topLinePunct w:val="0"/>
              <w:autoSpaceDE/>
              <w:autoSpaceDN/>
              <w:bidi w:val="0"/>
              <w:adjustRightInd/>
              <w:snapToGrid/>
              <w:spacing w:before="219" w:line="280" w:lineRule="exact"/>
              <w:ind w:left="112" w:leftChars="0"/>
              <w:jc w:val="center"/>
              <w:textAlignment w:val="auto"/>
              <w:rPr>
                <w:rFonts w:ascii="宋体" w:hAnsi="宋体" w:eastAsia="宋体" w:cs="宋体"/>
                <w:kern w:val="2"/>
                <w:sz w:val="21"/>
                <w:szCs w:val="21"/>
                <w:lang w:val="en-US" w:eastAsia="zh-CN" w:bidi="ar-SA"/>
              </w:rPr>
            </w:pPr>
            <w:r>
              <w:rPr>
                <w:rFonts w:ascii="宋体" w:hAnsi="宋体" w:eastAsia="宋体" w:cs="宋体"/>
                <w:spacing w:val="12"/>
                <w:sz w:val="21"/>
                <w:szCs w:val="21"/>
              </w:rPr>
              <w:t>4只</w:t>
            </w:r>
          </w:p>
        </w:tc>
        <w:tc>
          <w:tcPr>
            <w:tcW w:w="5639" w:type="dxa"/>
            <w:vAlign w:val="center"/>
          </w:tcPr>
          <w:p>
            <w:pPr>
              <w:keepNext w:val="0"/>
              <w:keepLines w:val="0"/>
              <w:pageBreakBefore w:val="0"/>
              <w:widowControl w:val="0"/>
              <w:kinsoku/>
              <w:wordWrap/>
              <w:overflowPunct/>
              <w:topLinePunct w:val="0"/>
              <w:autoSpaceDE/>
              <w:autoSpaceDN/>
              <w:bidi w:val="0"/>
              <w:adjustRightInd/>
              <w:snapToGrid/>
              <w:spacing w:before="61" w:line="280" w:lineRule="exact"/>
              <w:ind w:left="123" w:leftChars="0" w:right="86" w:rightChars="0"/>
              <w:jc w:val="left"/>
              <w:textAlignment w:val="auto"/>
              <w:rPr>
                <w:rFonts w:ascii="宋体" w:hAnsi="宋体" w:eastAsia="宋体" w:cs="宋体"/>
                <w:kern w:val="2"/>
                <w:sz w:val="21"/>
                <w:szCs w:val="21"/>
                <w:lang w:val="en-US" w:eastAsia="zh-CN" w:bidi="ar-SA"/>
              </w:rPr>
            </w:pPr>
            <w:r>
              <w:rPr>
                <w:rFonts w:ascii="宋体" w:hAnsi="宋体" w:eastAsia="宋体" w:cs="宋体"/>
                <w:spacing w:val="11"/>
                <w:sz w:val="21"/>
                <w:szCs w:val="21"/>
              </w:rPr>
              <w:t>红、蓝各2只，</w:t>
            </w:r>
            <w:r>
              <w:rPr>
                <w:rFonts w:ascii="宋体" w:hAnsi="宋体" w:eastAsia="宋体" w:cs="宋体"/>
                <w:sz w:val="21"/>
                <w:szCs w:val="21"/>
              </w:rPr>
              <w:t>DC</w:t>
            </w:r>
            <w:r>
              <w:rPr>
                <w:rFonts w:ascii="宋体" w:hAnsi="宋体" w:eastAsia="宋体" w:cs="宋体"/>
                <w:spacing w:val="11"/>
                <w:sz w:val="21"/>
                <w:szCs w:val="21"/>
              </w:rPr>
              <w:t>12V,P≤30W,</w:t>
            </w:r>
            <w:r>
              <w:rPr>
                <w:rFonts w:ascii="宋体" w:hAnsi="宋体" w:eastAsia="宋体" w:cs="宋体"/>
                <w:sz w:val="21"/>
                <w:szCs w:val="21"/>
              </w:rPr>
              <w:t>LED</w:t>
            </w:r>
            <w:r>
              <w:rPr>
                <w:rFonts w:ascii="宋体" w:hAnsi="宋体" w:eastAsia="宋体" w:cs="宋体"/>
                <w:spacing w:val="11"/>
                <w:sz w:val="21"/>
                <w:szCs w:val="21"/>
              </w:rPr>
              <w:t>小型警灯，二级发</w:t>
            </w:r>
            <w:r>
              <w:rPr>
                <w:rFonts w:ascii="宋体" w:hAnsi="宋体" w:eastAsia="宋体" w:cs="宋体"/>
                <w:spacing w:val="7"/>
                <w:sz w:val="21"/>
                <w:szCs w:val="21"/>
              </w:rPr>
              <w:t xml:space="preserve"> </w:t>
            </w:r>
            <w:r>
              <w:rPr>
                <w:rFonts w:ascii="宋体" w:hAnsi="宋体" w:eastAsia="宋体" w:cs="宋体"/>
                <w:spacing w:val="4"/>
                <w:sz w:val="21"/>
                <w:szCs w:val="21"/>
              </w:rPr>
              <w:t>光强度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585" w:type="dxa"/>
            <w:vMerge w:val="restart"/>
            <w:vAlign w:val="center"/>
          </w:tcPr>
          <w:p>
            <w:pPr>
              <w:keepNext w:val="0"/>
              <w:keepLines w:val="0"/>
              <w:pageBreakBefore w:val="0"/>
              <w:widowControl w:val="0"/>
              <w:kinsoku/>
              <w:wordWrap/>
              <w:overflowPunct/>
              <w:topLinePunct w:val="0"/>
              <w:autoSpaceDE/>
              <w:autoSpaceDN/>
              <w:bidi w:val="0"/>
              <w:adjustRightInd/>
              <w:snapToGrid/>
              <w:spacing w:before="68" w:line="280" w:lineRule="exact"/>
              <w:ind w:left="95" w:leftChars="0"/>
              <w:jc w:val="center"/>
              <w:textAlignment w:val="auto"/>
              <w:rPr>
                <w:rFonts w:ascii="宋体" w:hAnsi="宋体" w:eastAsia="宋体" w:cs="宋体"/>
                <w:kern w:val="2"/>
                <w:sz w:val="21"/>
                <w:szCs w:val="21"/>
                <w:lang w:val="en-US" w:eastAsia="zh-CN" w:bidi="ar-SA"/>
              </w:rPr>
            </w:pPr>
            <w:r>
              <w:rPr>
                <w:rFonts w:ascii="宋体" w:hAnsi="宋体" w:eastAsia="宋体" w:cs="宋体"/>
                <w:sz w:val="21"/>
                <w:szCs w:val="21"/>
              </w:rPr>
              <w:t>8</w:t>
            </w:r>
          </w:p>
        </w:tc>
        <w:tc>
          <w:tcPr>
            <w:tcW w:w="753" w:type="dxa"/>
            <w:vMerge w:val="restart"/>
            <w:vAlign w:val="center"/>
          </w:tcPr>
          <w:p>
            <w:pPr>
              <w:keepNext w:val="0"/>
              <w:keepLines w:val="0"/>
              <w:pageBreakBefore w:val="0"/>
              <w:widowControl w:val="0"/>
              <w:kinsoku/>
              <w:wordWrap/>
              <w:overflowPunct/>
              <w:topLinePunct w:val="0"/>
              <w:autoSpaceDE/>
              <w:autoSpaceDN/>
              <w:bidi w:val="0"/>
              <w:adjustRightInd/>
              <w:snapToGrid/>
              <w:spacing w:before="68" w:line="280" w:lineRule="exact"/>
              <w:ind w:left="70" w:leftChars="0" w:right="76" w:rightChars="0" w:firstLine="60" w:firstLineChars="0"/>
              <w:jc w:val="center"/>
              <w:textAlignment w:val="auto"/>
              <w:rPr>
                <w:rFonts w:ascii="宋体" w:hAnsi="宋体" w:eastAsia="宋体" w:cs="宋体"/>
                <w:kern w:val="2"/>
                <w:sz w:val="21"/>
                <w:szCs w:val="21"/>
                <w:lang w:val="en-US" w:eastAsia="zh-CN" w:bidi="ar-SA"/>
              </w:rPr>
            </w:pPr>
            <w:r>
              <w:rPr>
                <w:rFonts w:ascii="宋体" w:hAnsi="宋体" w:eastAsia="宋体" w:cs="宋体"/>
                <w:spacing w:val="4"/>
                <w:sz w:val="21"/>
                <w:szCs w:val="21"/>
              </w:rPr>
              <w:t>内饰</w:t>
            </w:r>
            <w:r>
              <w:rPr>
                <w:rFonts w:ascii="宋体" w:hAnsi="宋体" w:eastAsia="宋体" w:cs="宋体"/>
                <w:sz w:val="21"/>
                <w:szCs w:val="21"/>
              </w:rPr>
              <w:t xml:space="preserve"> </w:t>
            </w:r>
            <w:r>
              <w:rPr>
                <w:rFonts w:ascii="宋体" w:hAnsi="宋体" w:eastAsia="宋体" w:cs="宋体"/>
                <w:spacing w:val="34"/>
                <w:sz w:val="21"/>
                <w:szCs w:val="21"/>
              </w:rPr>
              <w:t>涂装</w:t>
            </w:r>
            <w:r>
              <w:rPr>
                <w:rFonts w:ascii="宋体" w:hAnsi="宋体" w:eastAsia="宋体" w:cs="宋体"/>
                <w:sz w:val="21"/>
                <w:szCs w:val="21"/>
              </w:rPr>
              <w:t xml:space="preserve"> </w:t>
            </w:r>
            <w:r>
              <w:rPr>
                <w:rFonts w:ascii="宋体" w:hAnsi="宋体" w:eastAsia="宋体" w:cs="宋体"/>
                <w:spacing w:val="25"/>
                <w:sz w:val="21"/>
                <w:szCs w:val="21"/>
              </w:rPr>
              <w:t>车体</w:t>
            </w:r>
            <w:r>
              <w:rPr>
                <w:rFonts w:ascii="宋体" w:hAnsi="宋体" w:eastAsia="宋体" w:cs="宋体"/>
                <w:sz w:val="21"/>
                <w:szCs w:val="21"/>
              </w:rPr>
              <w:t xml:space="preserve"> </w:t>
            </w:r>
            <w:r>
              <w:rPr>
                <w:rFonts w:ascii="宋体" w:hAnsi="宋体" w:eastAsia="宋体" w:cs="宋体"/>
                <w:spacing w:val="-12"/>
                <w:sz w:val="21"/>
                <w:szCs w:val="21"/>
              </w:rPr>
              <w:t>外</w:t>
            </w:r>
            <w:r>
              <w:rPr>
                <w:rFonts w:ascii="宋体" w:hAnsi="宋体" w:eastAsia="宋体" w:cs="宋体"/>
                <w:spacing w:val="39"/>
                <w:sz w:val="21"/>
                <w:szCs w:val="21"/>
              </w:rPr>
              <w:t xml:space="preserve"> </w:t>
            </w:r>
            <w:r>
              <w:rPr>
                <w:rFonts w:ascii="宋体" w:hAnsi="宋体" w:eastAsia="宋体" w:cs="宋体"/>
                <w:spacing w:val="-12"/>
                <w:sz w:val="21"/>
                <w:szCs w:val="21"/>
              </w:rPr>
              <w:t>部</w:t>
            </w:r>
            <w:r>
              <w:rPr>
                <w:rFonts w:ascii="宋体" w:hAnsi="宋体" w:eastAsia="宋体" w:cs="宋体"/>
                <w:sz w:val="21"/>
                <w:szCs w:val="21"/>
              </w:rPr>
              <w:t xml:space="preserve"> </w:t>
            </w:r>
            <w:r>
              <w:rPr>
                <w:rFonts w:ascii="宋体" w:hAnsi="宋体" w:eastAsia="宋体" w:cs="宋体"/>
                <w:spacing w:val="39"/>
                <w:sz w:val="21"/>
                <w:szCs w:val="21"/>
              </w:rPr>
              <w:t>定制</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before="75" w:line="280" w:lineRule="exact"/>
              <w:ind w:left="381" w:leftChars="0" w:right="196" w:rightChars="0" w:hanging="209" w:firstLineChars="0"/>
              <w:jc w:val="center"/>
              <w:textAlignment w:val="auto"/>
              <w:rPr>
                <w:rFonts w:ascii="宋体" w:hAnsi="宋体" w:eastAsia="宋体" w:cs="宋体"/>
                <w:kern w:val="2"/>
                <w:sz w:val="21"/>
                <w:szCs w:val="21"/>
                <w:lang w:val="en-US" w:eastAsia="zh-CN" w:bidi="ar-SA"/>
              </w:rPr>
            </w:pPr>
            <w:r>
              <w:rPr>
                <w:rFonts w:ascii="宋体" w:hAnsi="宋体" w:eastAsia="宋体" w:cs="宋体"/>
                <w:spacing w:val="-3"/>
                <w:sz w:val="21"/>
                <w:szCs w:val="21"/>
              </w:rPr>
              <w:t>整车外观</w:t>
            </w:r>
            <w:r>
              <w:rPr>
                <w:rFonts w:ascii="宋体" w:hAnsi="宋体" w:eastAsia="宋体" w:cs="宋体"/>
                <w:spacing w:val="1"/>
                <w:sz w:val="21"/>
                <w:szCs w:val="21"/>
              </w:rPr>
              <w:t xml:space="preserve"> </w:t>
            </w:r>
            <w:r>
              <w:rPr>
                <w:rFonts w:ascii="宋体" w:hAnsi="宋体" w:eastAsia="宋体" w:cs="宋体"/>
                <w:spacing w:val="4"/>
                <w:sz w:val="21"/>
                <w:szCs w:val="21"/>
              </w:rPr>
              <w:t>涂装</w:t>
            </w:r>
          </w:p>
        </w:tc>
        <w:tc>
          <w:tcPr>
            <w:tcW w:w="677" w:type="dxa"/>
            <w:vAlign w:val="center"/>
          </w:tcPr>
          <w:p>
            <w:pPr>
              <w:keepNext w:val="0"/>
              <w:keepLines w:val="0"/>
              <w:pageBreakBefore w:val="0"/>
              <w:widowControl w:val="0"/>
              <w:kinsoku/>
              <w:wordWrap/>
              <w:overflowPunct/>
              <w:topLinePunct w:val="0"/>
              <w:autoSpaceDE/>
              <w:autoSpaceDN/>
              <w:bidi w:val="0"/>
              <w:adjustRightInd/>
              <w:snapToGrid/>
              <w:spacing w:before="207" w:line="280" w:lineRule="exact"/>
              <w:ind w:left="112" w:leftChars="0"/>
              <w:jc w:val="center"/>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1套</w:t>
            </w:r>
          </w:p>
        </w:tc>
        <w:tc>
          <w:tcPr>
            <w:tcW w:w="5639" w:type="dxa"/>
            <w:vAlign w:val="center"/>
          </w:tcPr>
          <w:p>
            <w:pPr>
              <w:keepNext w:val="0"/>
              <w:keepLines w:val="0"/>
              <w:pageBreakBefore w:val="0"/>
              <w:widowControl w:val="0"/>
              <w:kinsoku/>
              <w:wordWrap/>
              <w:overflowPunct/>
              <w:topLinePunct w:val="0"/>
              <w:autoSpaceDE/>
              <w:autoSpaceDN/>
              <w:bidi w:val="0"/>
              <w:adjustRightInd/>
              <w:snapToGrid/>
              <w:spacing w:before="206" w:line="280" w:lineRule="exact"/>
              <w:ind w:left="123" w:leftChars="0"/>
              <w:jc w:val="left"/>
              <w:textAlignment w:val="auto"/>
              <w:rPr>
                <w:rFonts w:ascii="宋体" w:hAnsi="宋体" w:eastAsia="宋体" w:cs="宋体"/>
                <w:kern w:val="2"/>
                <w:sz w:val="21"/>
                <w:szCs w:val="21"/>
                <w:lang w:val="en-US" w:eastAsia="zh-CN" w:bidi="ar-SA"/>
              </w:rPr>
            </w:pPr>
            <w:r>
              <w:rPr>
                <w:rFonts w:ascii="宋体" w:hAnsi="宋体" w:eastAsia="宋体" w:cs="宋体"/>
                <w:spacing w:val="1"/>
                <w:sz w:val="21"/>
                <w:szCs w:val="21"/>
              </w:rPr>
              <w:t>油漆，警徽、彩条，喷字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spacing w:before="257" w:line="280" w:lineRule="exact"/>
              <w:ind w:left="64"/>
              <w:jc w:val="center"/>
              <w:textAlignment w:val="auto"/>
              <w:rPr>
                <w:rFonts w:ascii="宋体" w:hAnsi="宋体" w:eastAsia="宋体" w:cs="宋体"/>
                <w:spacing w:val="-4"/>
                <w:sz w:val="21"/>
                <w:szCs w:val="21"/>
              </w:rPr>
            </w:pPr>
          </w:p>
        </w:tc>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before="73" w:line="280" w:lineRule="exact"/>
              <w:ind w:left="131" w:right="128"/>
              <w:jc w:val="center"/>
              <w:textAlignment w:val="auto"/>
              <w:rPr>
                <w:rFonts w:ascii="宋体" w:hAnsi="宋体" w:eastAsia="宋体" w:cs="宋体"/>
                <w:spacing w:val="4"/>
                <w:sz w:val="21"/>
                <w:szCs w:val="21"/>
              </w:rPr>
            </w:pPr>
          </w:p>
        </w:tc>
        <w:tc>
          <w:tcPr>
            <w:tcW w:w="1303" w:type="dxa"/>
            <w:vAlign w:val="center"/>
          </w:tcPr>
          <w:p>
            <w:pPr>
              <w:keepNext w:val="0"/>
              <w:keepLines w:val="0"/>
              <w:pageBreakBefore w:val="0"/>
              <w:widowControl w:val="0"/>
              <w:kinsoku/>
              <w:wordWrap/>
              <w:overflowPunct/>
              <w:topLinePunct w:val="0"/>
              <w:autoSpaceDE/>
              <w:autoSpaceDN/>
              <w:bidi w:val="0"/>
              <w:adjustRightInd/>
              <w:snapToGrid/>
              <w:spacing w:before="87" w:line="280" w:lineRule="exact"/>
              <w:ind w:left="172"/>
              <w:jc w:val="center"/>
              <w:textAlignment w:val="auto"/>
              <w:rPr>
                <w:rFonts w:ascii="宋体" w:hAnsi="宋体" w:eastAsia="宋体" w:cs="宋体"/>
                <w:sz w:val="21"/>
                <w:szCs w:val="21"/>
              </w:rPr>
            </w:pPr>
            <w:r>
              <w:rPr>
                <w:rFonts w:ascii="宋体" w:hAnsi="宋体" w:eastAsia="宋体" w:cs="宋体"/>
                <w:spacing w:val="3"/>
                <w:sz w:val="21"/>
                <w:szCs w:val="21"/>
              </w:rPr>
              <w:t>车顶部侧</w:t>
            </w:r>
          </w:p>
          <w:p>
            <w:pPr>
              <w:keepNext w:val="0"/>
              <w:keepLines w:val="0"/>
              <w:pageBreakBefore w:val="0"/>
              <w:widowControl w:val="0"/>
              <w:kinsoku/>
              <w:wordWrap/>
              <w:overflowPunct/>
              <w:topLinePunct w:val="0"/>
              <w:autoSpaceDE/>
              <w:autoSpaceDN/>
              <w:bidi w:val="0"/>
              <w:adjustRightInd/>
              <w:snapToGrid/>
              <w:spacing w:before="51" w:line="280" w:lineRule="exact"/>
              <w:ind w:left="282" w:leftChars="0"/>
              <w:jc w:val="center"/>
              <w:textAlignment w:val="auto"/>
              <w:rPr>
                <w:rFonts w:ascii="宋体" w:hAnsi="宋体" w:eastAsia="宋体" w:cs="宋体"/>
                <w:kern w:val="2"/>
                <w:sz w:val="21"/>
                <w:szCs w:val="21"/>
                <w:lang w:val="en-US" w:eastAsia="zh-CN" w:bidi="ar-SA"/>
              </w:rPr>
            </w:pPr>
            <w:r>
              <w:rPr>
                <w:rFonts w:ascii="宋体" w:hAnsi="宋体" w:eastAsia="宋体" w:cs="宋体"/>
                <w:spacing w:val="3"/>
                <w:sz w:val="21"/>
                <w:szCs w:val="21"/>
              </w:rPr>
              <w:t>围涂装</w:t>
            </w:r>
          </w:p>
        </w:tc>
        <w:tc>
          <w:tcPr>
            <w:tcW w:w="677" w:type="dxa"/>
            <w:vAlign w:val="center"/>
          </w:tcPr>
          <w:p>
            <w:pPr>
              <w:keepNext w:val="0"/>
              <w:keepLines w:val="0"/>
              <w:pageBreakBefore w:val="0"/>
              <w:widowControl w:val="0"/>
              <w:kinsoku/>
              <w:wordWrap/>
              <w:overflowPunct/>
              <w:topLinePunct w:val="0"/>
              <w:autoSpaceDE/>
              <w:autoSpaceDN/>
              <w:bidi w:val="0"/>
              <w:adjustRightInd/>
              <w:snapToGrid/>
              <w:spacing w:before="208" w:line="280" w:lineRule="exact"/>
              <w:ind w:left="112" w:leftChars="0"/>
              <w:jc w:val="center"/>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1套</w:t>
            </w:r>
          </w:p>
        </w:tc>
        <w:tc>
          <w:tcPr>
            <w:tcW w:w="5639" w:type="dxa"/>
            <w:vAlign w:val="center"/>
          </w:tcPr>
          <w:p>
            <w:pPr>
              <w:keepNext w:val="0"/>
              <w:keepLines w:val="0"/>
              <w:pageBreakBefore w:val="0"/>
              <w:widowControl w:val="0"/>
              <w:kinsoku/>
              <w:wordWrap/>
              <w:overflowPunct/>
              <w:topLinePunct w:val="0"/>
              <w:autoSpaceDE/>
              <w:autoSpaceDN/>
              <w:bidi w:val="0"/>
              <w:adjustRightInd/>
              <w:snapToGrid/>
              <w:spacing w:before="207" w:line="280" w:lineRule="exact"/>
              <w:ind w:left="123" w:leftChars="0"/>
              <w:jc w:val="left"/>
              <w:textAlignment w:val="auto"/>
              <w:rPr>
                <w:rFonts w:ascii="宋体" w:hAnsi="宋体" w:eastAsia="宋体" w:cs="宋体"/>
                <w:kern w:val="2"/>
                <w:sz w:val="21"/>
                <w:szCs w:val="21"/>
                <w:lang w:val="en-US" w:eastAsia="zh-CN" w:bidi="ar-SA"/>
              </w:rPr>
            </w:pPr>
            <w:r>
              <w:rPr>
                <w:rFonts w:ascii="宋体" w:hAnsi="宋体" w:eastAsia="宋体" w:cs="宋体"/>
                <w:spacing w:val="-1"/>
                <w:sz w:val="21"/>
                <w:szCs w:val="21"/>
              </w:rPr>
              <w:t>腻子，打磨，大河面漆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spacing w:before="257" w:line="280" w:lineRule="exact"/>
              <w:ind w:left="64"/>
              <w:jc w:val="center"/>
              <w:textAlignment w:val="auto"/>
              <w:rPr>
                <w:rFonts w:ascii="宋体" w:hAnsi="宋体" w:eastAsia="宋体" w:cs="宋体"/>
                <w:spacing w:val="-4"/>
                <w:sz w:val="21"/>
                <w:szCs w:val="21"/>
              </w:rPr>
            </w:pPr>
          </w:p>
        </w:tc>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before="73" w:line="280" w:lineRule="exact"/>
              <w:ind w:left="131" w:right="128"/>
              <w:jc w:val="center"/>
              <w:textAlignment w:val="auto"/>
              <w:rPr>
                <w:rFonts w:ascii="宋体" w:hAnsi="宋体" w:eastAsia="宋体" w:cs="宋体"/>
                <w:spacing w:val="4"/>
                <w:sz w:val="21"/>
                <w:szCs w:val="21"/>
              </w:rPr>
            </w:pPr>
          </w:p>
        </w:tc>
        <w:tc>
          <w:tcPr>
            <w:tcW w:w="1303" w:type="dxa"/>
            <w:vAlign w:val="center"/>
          </w:tcPr>
          <w:p>
            <w:pPr>
              <w:keepNext w:val="0"/>
              <w:keepLines w:val="0"/>
              <w:pageBreakBefore w:val="0"/>
              <w:widowControl w:val="0"/>
              <w:kinsoku/>
              <w:wordWrap/>
              <w:overflowPunct/>
              <w:topLinePunct w:val="0"/>
              <w:autoSpaceDE/>
              <w:autoSpaceDN/>
              <w:bidi w:val="0"/>
              <w:adjustRightInd/>
              <w:snapToGrid/>
              <w:spacing w:before="67" w:line="280" w:lineRule="exact"/>
              <w:ind w:left="172"/>
              <w:jc w:val="both"/>
              <w:textAlignment w:val="auto"/>
              <w:rPr>
                <w:rFonts w:ascii="宋体" w:hAnsi="宋体" w:eastAsia="宋体" w:cs="宋体"/>
                <w:sz w:val="21"/>
                <w:szCs w:val="21"/>
              </w:rPr>
            </w:pPr>
            <w:r>
              <w:rPr>
                <w:rFonts w:ascii="宋体" w:hAnsi="宋体" w:eastAsia="宋体" w:cs="宋体"/>
                <w:spacing w:val="-2"/>
                <w:sz w:val="21"/>
                <w:szCs w:val="21"/>
              </w:rPr>
              <w:t>低值易耗</w:t>
            </w:r>
          </w:p>
          <w:p>
            <w:pPr>
              <w:keepNext w:val="0"/>
              <w:keepLines w:val="0"/>
              <w:pageBreakBefore w:val="0"/>
              <w:widowControl w:val="0"/>
              <w:kinsoku/>
              <w:wordWrap/>
              <w:overflowPunct/>
              <w:topLinePunct w:val="0"/>
              <w:autoSpaceDE/>
              <w:autoSpaceDN/>
              <w:bidi w:val="0"/>
              <w:adjustRightInd/>
              <w:snapToGrid/>
              <w:spacing w:before="70" w:line="280" w:lineRule="exact"/>
              <w:ind w:left="71"/>
              <w:jc w:val="center"/>
              <w:textAlignment w:val="auto"/>
              <w:rPr>
                <w:rFonts w:ascii="宋体" w:hAnsi="宋体" w:eastAsia="宋体" w:cs="宋体"/>
                <w:sz w:val="21"/>
                <w:szCs w:val="21"/>
              </w:rPr>
            </w:pPr>
            <w:r>
              <w:rPr>
                <w:rFonts w:ascii="宋体" w:hAnsi="宋体" w:eastAsia="宋体" w:cs="宋体"/>
                <w:spacing w:val="1"/>
                <w:sz w:val="21"/>
                <w:szCs w:val="21"/>
              </w:rPr>
              <w:t>品、非标件</w:t>
            </w:r>
          </w:p>
          <w:p>
            <w:pPr>
              <w:keepNext w:val="0"/>
              <w:keepLines w:val="0"/>
              <w:pageBreakBefore w:val="0"/>
              <w:widowControl w:val="0"/>
              <w:kinsoku/>
              <w:wordWrap/>
              <w:overflowPunct/>
              <w:topLinePunct w:val="0"/>
              <w:autoSpaceDE/>
              <w:autoSpaceDN/>
              <w:bidi w:val="0"/>
              <w:adjustRightInd/>
              <w:snapToGrid/>
              <w:spacing w:before="70" w:line="280" w:lineRule="exact"/>
              <w:ind w:left="381" w:leftChars="0"/>
              <w:jc w:val="center"/>
              <w:textAlignment w:val="auto"/>
              <w:rPr>
                <w:rFonts w:ascii="宋体" w:hAnsi="宋体" w:eastAsia="宋体" w:cs="宋体"/>
                <w:kern w:val="2"/>
                <w:sz w:val="21"/>
                <w:szCs w:val="21"/>
                <w:lang w:val="en-US" w:eastAsia="zh-CN" w:bidi="ar-SA"/>
              </w:rPr>
            </w:pPr>
            <w:r>
              <w:rPr>
                <w:rFonts w:ascii="宋体" w:hAnsi="宋体" w:eastAsia="宋体" w:cs="宋体"/>
                <w:spacing w:val="-3"/>
                <w:sz w:val="21"/>
                <w:szCs w:val="21"/>
              </w:rPr>
              <w:t>辅材</w:t>
            </w:r>
          </w:p>
        </w:tc>
        <w:tc>
          <w:tcPr>
            <w:tcW w:w="677" w:type="dxa"/>
            <w:vAlign w:val="center"/>
          </w:tcPr>
          <w:p>
            <w:pPr>
              <w:keepNext w:val="0"/>
              <w:keepLines w:val="0"/>
              <w:pageBreakBefore w:val="0"/>
              <w:widowControl w:val="0"/>
              <w:kinsoku/>
              <w:wordWrap/>
              <w:overflowPunct/>
              <w:topLinePunct w:val="0"/>
              <w:autoSpaceDE/>
              <w:autoSpaceDN/>
              <w:bidi w:val="0"/>
              <w:adjustRightInd/>
              <w:snapToGrid/>
              <w:spacing w:before="68" w:line="280" w:lineRule="exact"/>
              <w:ind w:left="112" w:leftChars="0"/>
              <w:jc w:val="center"/>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1套</w:t>
            </w:r>
          </w:p>
        </w:tc>
        <w:tc>
          <w:tcPr>
            <w:tcW w:w="5639" w:type="dxa"/>
            <w:vAlign w:val="center"/>
          </w:tcPr>
          <w:p>
            <w:pPr>
              <w:keepNext w:val="0"/>
              <w:keepLines w:val="0"/>
              <w:pageBreakBefore w:val="0"/>
              <w:widowControl w:val="0"/>
              <w:kinsoku/>
              <w:wordWrap/>
              <w:overflowPunct/>
              <w:topLinePunct w:val="0"/>
              <w:autoSpaceDE/>
              <w:autoSpaceDN/>
              <w:bidi w:val="0"/>
              <w:adjustRightInd/>
              <w:snapToGrid/>
              <w:spacing w:before="68" w:line="280" w:lineRule="exact"/>
              <w:ind w:left="123" w:leftChars="0"/>
              <w:jc w:val="left"/>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辅助材料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585" w:type="dxa"/>
            <w:vMerge w:val="restart"/>
            <w:vAlign w:val="center"/>
          </w:tcPr>
          <w:p>
            <w:pPr>
              <w:keepNext w:val="0"/>
              <w:keepLines w:val="0"/>
              <w:pageBreakBefore w:val="0"/>
              <w:widowControl w:val="0"/>
              <w:kinsoku/>
              <w:wordWrap/>
              <w:overflowPunct/>
              <w:topLinePunct w:val="0"/>
              <w:autoSpaceDE/>
              <w:autoSpaceDN/>
              <w:bidi w:val="0"/>
              <w:adjustRightInd/>
              <w:snapToGrid/>
              <w:spacing w:before="68" w:line="280" w:lineRule="exact"/>
              <w:ind w:left="95" w:leftChars="0"/>
              <w:jc w:val="center"/>
              <w:textAlignment w:val="auto"/>
              <w:rPr>
                <w:rFonts w:ascii="宋体" w:hAnsi="宋体" w:eastAsia="宋体" w:cs="宋体"/>
                <w:kern w:val="2"/>
                <w:sz w:val="21"/>
                <w:szCs w:val="21"/>
                <w:lang w:val="en-US" w:eastAsia="zh-CN" w:bidi="ar-SA"/>
              </w:rPr>
            </w:pPr>
            <w:r>
              <w:rPr>
                <w:rFonts w:ascii="宋体" w:hAnsi="宋体" w:eastAsia="宋体" w:cs="宋体"/>
                <w:sz w:val="21"/>
                <w:szCs w:val="21"/>
              </w:rPr>
              <w:t>9</w:t>
            </w:r>
          </w:p>
        </w:tc>
        <w:tc>
          <w:tcPr>
            <w:tcW w:w="753" w:type="dxa"/>
            <w:vMerge w:val="restart"/>
            <w:vAlign w:val="center"/>
          </w:tcPr>
          <w:p>
            <w:pPr>
              <w:keepNext w:val="0"/>
              <w:keepLines w:val="0"/>
              <w:pageBreakBefore w:val="0"/>
              <w:widowControl w:val="0"/>
              <w:kinsoku/>
              <w:wordWrap/>
              <w:overflowPunct/>
              <w:topLinePunct w:val="0"/>
              <w:autoSpaceDE/>
              <w:autoSpaceDN/>
              <w:bidi w:val="0"/>
              <w:adjustRightInd/>
              <w:snapToGrid/>
              <w:spacing w:before="69" w:line="280" w:lineRule="exact"/>
              <w:ind w:left="131" w:leftChars="0" w:right="119" w:rightChars="0"/>
              <w:jc w:val="center"/>
              <w:textAlignment w:val="auto"/>
              <w:rPr>
                <w:rFonts w:ascii="宋体" w:hAnsi="宋体" w:eastAsia="宋体" w:cs="宋体"/>
                <w:kern w:val="2"/>
                <w:sz w:val="21"/>
                <w:szCs w:val="21"/>
                <w:lang w:val="en-US" w:eastAsia="zh-CN" w:bidi="ar-SA"/>
              </w:rPr>
            </w:pPr>
            <w:r>
              <w:rPr>
                <w:rFonts w:ascii="宋体" w:hAnsi="宋体" w:eastAsia="宋体" w:cs="宋体"/>
                <w:spacing w:val="9"/>
                <w:sz w:val="21"/>
                <w:szCs w:val="21"/>
              </w:rPr>
              <w:t>改制</w:t>
            </w:r>
            <w:r>
              <w:rPr>
                <w:rFonts w:ascii="宋体" w:hAnsi="宋体" w:eastAsia="宋体" w:cs="宋体"/>
                <w:sz w:val="21"/>
                <w:szCs w:val="21"/>
              </w:rPr>
              <w:t xml:space="preserve"> </w:t>
            </w:r>
            <w:r>
              <w:rPr>
                <w:rFonts w:ascii="宋体" w:hAnsi="宋体" w:eastAsia="宋体" w:cs="宋体"/>
                <w:spacing w:val="-3"/>
                <w:sz w:val="21"/>
                <w:szCs w:val="21"/>
              </w:rPr>
              <w:t>部分</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before="58" w:line="280" w:lineRule="exact"/>
              <w:ind w:left="172" w:leftChars="0"/>
              <w:jc w:val="center"/>
              <w:textAlignment w:val="auto"/>
              <w:rPr>
                <w:rFonts w:ascii="宋体" w:hAnsi="宋体" w:eastAsia="宋体" w:cs="宋体"/>
                <w:kern w:val="2"/>
                <w:sz w:val="21"/>
                <w:szCs w:val="21"/>
                <w:lang w:val="en-US" w:eastAsia="zh-CN" w:bidi="ar-SA"/>
              </w:rPr>
            </w:pPr>
            <w:r>
              <w:rPr>
                <w:rFonts w:ascii="宋体" w:hAnsi="宋体" w:eastAsia="宋体" w:cs="宋体"/>
                <w:spacing w:val="5"/>
                <w:sz w:val="21"/>
                <w:szCs w:val="21"/>
              </w:rPr>
              <w:t>车顶平台</w:t>
            </w:r>
          </w:p>
        </w:tc>
        <w:tc>
          <w:tcPr>
            <w:tcW w:w="677" w:type="dxa"/>
            <w:vAlign w:val="center"/>
          </w:tcPr>
          <w:p>
            <w:pPr>
              <w:keepNext w:val="0"/>
              <w:keepLines w:val="0"/>
              <w:pageBreakBefore w:val="0"/>
              <w:widowControl w:val="0"/>
              <w:kinsoku/>
              <w:wordWrap/>
              <w:overflowPunct/>
              <w:topLinePunct w:val="0"/>
              <w:autoSpaceDE/>
              <w:autoSpaceDN/>
              <w:bidi w:val="0"/>
              <w:adjustRightInd/>
              <w:snapToGrid/>
              <w:spacing w:before="58" w:line="280" w:lineRule="exact"/>
              <w:ind w:left="112" w:leftChars="0"/>
              <w:jc w:val="center"/>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1套</w:t>
            </w:r>
          </w:p>
        </w:tc>
        <w:tc>
          <w:tcPr>
            <w:tcW w:w="5639" w:type="dxa"/>
            <w:vAlign w:val="center"/>
          </w:tcPr>
          <w:p>
            <w:pPr>
              <w:keepNext w:val="0"/>
              <w:keepLines w:val="0"/>
              <w:pageBreakBefore w:val="0"/>
              <w:widowControl w:val="0"/>
              <w:kinsoku/>
              <w:wordWrap/>
              <w:overflowPunct/>
              <w:topLinePunct w:val="0"/>
              <w:autoSpaceDE/>
              <w:autoSpaceDN/>
              <w:bidi w:val="0"/>
              <w:adjustRightInd/>
              <w:snapToGrid/>
              <w:spacing w:before="57" w:line="280" w:lineRule="exact"/>
              <w:ind w:left="123" w:leftChars="0"/>
              <w:jc w:val="left"/>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铺设花纹铝板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spacing w:before="257" w:line="280" w:lineRule="exact"/>
              <w:ind w:left="64"/>
              <w:jc w:val="center"/>
              <w:textAlignment w:val="auto"/>
              <w:rPr>
                <w:rFonts w:ascii="宋体" w:hAnsi="宋体" w:eastAsia="宋体" w:cs="宋体"/>
                <w:spacing w:val="-4"/>
                <w:sz w:val="21"/>
                <w:szCs w:val="21"/>
              </w:rPr>
            </w:pPr>
          </w:p>
        </w:tc>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before="73" w:line="280" w:lineRule="exact"/>
              <w:ind w:left="131" w:right="128"/>
              <w:jc w:val="center"/>
              <w:textAlignment w:val="auto"/>
              <w:rPr>
                <w:rFonts w:ascii="宋体" w:hAnsi="宋体" w:eastAsia="宋体" w:cs="宋体"/>
                <w:spacing w:val="4"/>
                <w:sz w:val="21"/>
                <w:szCs w:val="21"/>
              </w:rPr>
            </w:pPr>
          </w:p>
        </w:tc>
        <w:tc>
          <w:tcPr>
            <w:tcW w:w="1303" w:type="dxa"/>
            <w:vAlign w:val="center"/>
          </w:tcPr>
          <w:p>
            <w:pPr>
              <w:keepNext w:val="0"/>
              <w:keepLines w:val="0"/>
              <w:pageBreakBefore w:val="0"/>
              <w:widowControl w:val="0"/>
              <w:kinsoku/>
              <w:wordWrap/>
              <w:overflowPunct/>
              <w:topLinePunct w:val="0"/>
              <w:autoSpaceDE/>
              <w:autoSpaceDN/>
              <w:bidi w:val="0"/>
              <w:adjustRightInd/>
              <w:snapToGrid/>
              <w:spacing w:before="58" w:line="280" w:lineRule="exact"/>
              <w:ind w:left="282" w:leftChars="0"/>
              <w:jc w:val="both"/>
              <w:textAlignment w:val="auto"/>
              <w:rPr>
                <w:rFonts w:ascii="宋体" w:hAnsi="宋体" w:eastAsia="宋体" w:cs="宋体"/>
                <w:kern w:val="2"/>
                <w:sz w:val="21"/>
                <w:szCs w:val="21"/>
                <w:lang w:val="en-US" w:eastAsia="zh-CN" w:bidi="ar-SA"/>
              </w:rPr>
            </w:pPr>
            <w:r>
              <w:rPr>
                <w:rFonts w:ascii="宋体" w:hAnsi="宋体" w:eastAsia="宋体" w:cs="宋体"/>
                <w:spacing w:val="-3"/>
                <w:sz w:val="21"/>
                <w:szCs w:val="21"/>
              </w:rPr>
              <w:t>后隔断</w:t>
            </w:r>
          </w:p>
        </w:tc>
        <w:tc>
          <w:tcPr>
            <w:tcW w:w="677" w:type="dxa"/>
            <w:vAlign w:val="center"/>
          </w:tcPr>
          <w:p>
            <w:pPr>
              <w:keepNext w:val="0"/>
              <w:keepLines w:val="0"/>
              <w:pageBreakBefore w:val="0"/>
              <w:widowControl w:val="0"/>
              <w:kinsoku/>
              <w:wordWrap/>
              <w:overflowPunct/>
              <w:topLinePunct w:val="0"/>
              <w:autoSpaceDE/>
              <w:autoSpaceDN/>
              <w:bidi w:val="0"/>
              <w:adjustRightInd/>
              <w:snapToGrid/>
              <w:spacing w:before="58" w:line="280" w:lineRule="exact"/>
              <w:ind w:left="112" w:leftChars="0"/>
              <w:jc w:val="center"/>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1套</w:t>
            </w:r>
          </w:p>
        </w:tc>
        <w:tc>
          <w:tcPr>
            <w:tcW w:w="5639" w:type="dxa"/>
            <w:vAlign w:val="center"/>
          </w:tcPr>
          <w:p>
            <w:pPr>
              <w:keepNext w:val="0"/>
              <w:keepLines w:val="0"/>
              <w:pageBreakBefore w:val="0"/>
              <w:widowControl w:val="0"/>
              <w:kinsoku/>
              <w:wordWrap/>
              <w:overflowPunct/>
              <w:topLinePunct w:val="0"/>
              <w:autoSpaceDE/>
              <w:autoSpaceDN/>
              <w:bidi w:val="0"/>
              <w:adjustRightInd/>
              <w:snapToGrid/>
              <w:spacing w:before="57" w:line="280" w:lineRule="exact"/>
              <w:ind w:left="123" w:leftChars="0"/>
              <w:jc w:val="left"/>
              <w:textAlignment w:val="auto"/>
              <w:rPr>
                <w:rFonts w:ascii="宋体" w:hAnsi="宋体" w:eastAsia="宋体" w:cs="宋体"/>
                <w:kern w:val="2"/>
                <w:sz w:val="21"/>
                <w:szCs w:val="21"/>
                <w:lang w:val="en-US" w:eastAsia="zh-CN" w:bidi="ar-SA"/>
              </w:rPr>
            </w:pPr>
            <w:r>
              <w:rPr>
                <w:rFonts w:ascii="宋体" w:hAnsi="宋体" w:eastAsia="宋体" w:cs="宋体"/>
                <w:spacing w:val="-1"/>
                <w:sz w:val="21"/>
                <w:szCs w:val="21"/>
              </w:rPr>
              <w:t>第二排座椅和装备柜之间做隔断封板，米色皮革软包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spacing w:before="257" w:line="280" w:lineRule="exact"/>
              <w:ind w:left="64"/>
              <w:jc w:val="center"/>
              <w:textAlignment w:val="auto"/>
              <w:rPr>
                <w:rFonts w:ascii="宋体" w:hAnsi="宋体" w:eastAsia="宋体" w:cs="宋体"/>
                <w:spacing w:val="-4"/>
                <w:sz w:val="21"/>
                <w:szCs w:val="21"/>
              </w:rPr>
            </w:pPr>
          </w:p>
        </w:tc>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before="73" w:line="280" w:lineRule="exact"/>
              <w:ind w:left="131" w:right="128"/>
              <w:jc w:val="center"/>
              <w:textAlignment w:val="auto"/>
              <w:rPr>
                <w:rFonts w:ascii="宋体" w:hAnsi="宋体" w:eastAsia="宋体" w:cs="宋体"/>
                <w:spacing w:val="4"/>
                <w:sz w:val="21"/>
                <w:szCs w:val="21"/>
              </w:rPr>
            </w:pPr>
          </w:p>
        </w:tc>
        <w:tc>
          <w:tcPr>
            <w:tcW w:w="1303" w:type="dxa"/>
            <w:vAlign w:val="center"/>
          </w:tcPr>
          <w:p>
            <w:pPr>
              <w:keepNext w:val="0"/>
              <w:keepLines w:val="0"/>
              <w:pageBreakBefore w:val="0"/>
              <w:widowControl w:val="0"/>
              <w:kinsoku/>
              <w:wordWrap/>
              <w:overflowPunct/>
              <w:topLinePunct w:val="0"/>
              <w:autoSpaceDE/>
              <w:autoSpaceDN/>
              <w:bidi w:val="0"/>
              <w:adjustRightInd/>
              <w:snapToGrid/>
              <w:spacing w:before="88" w:line="280" w:lineRule="exact"/>
              <w:ind w:left="171" w:leftChars="0" w:right="86" w:rightChars="0" w:hanging="100" w:firstLineChars="0"/>
              <w:jc w:val="center"/>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车身、车体</w:t>
            </w:r>
            <w:r>
              <w:rPr>
                <w:rFonts w:ascii="宋体" w:hAnsi="宋体" w:eastAsia="宋体" w:cs="宋体"/>
                <w:sz w:val="21"/>
                <w:szCs w:val="21"/>
              </w:rPr>
              <w:t xml:space="preserve"> </w:t>
            </w:r>
            <w:r>
              <w:rPr>
                <w:rFonts w:ascii="宋体" w:hAnsi="宋体" w:eastAsia="宋体" w:cs="宋体"/>
                <w:spacing w:val="4"/>
                <w:sz w:val="21"/>
                <w:szCs w:val="21"/>
              </w:rPr>
              <w:t>局部改制</w:t>
            </w:r>
          </w:p>
        </w:tc>
        <w:tc>
          <w:tcPr>
            <w:tcW w:w="677" w:type="dxa"/>
            <w:vAlign w:val="center"/>
          </w:tcPr>
          <w:p>
            <w:pPr>
              <w:keepNext w:val="0"/>
              <w:keepLines w:val="0"/>
              <w:pageBreakBefore w:val="0"/>
              <w:widowControl w:val="0"/>
              <w:kinsoku/>
              <w:wordWrap/>
              <w:overflowPunct/>
              <w:topLinePunct w:val="0"/>
              <w:autoSpaceDE/>
              <w:autoSpaceDN/>
              <w:bidi w:val="0"/>
              <w:adjustRightInd/>
              <w:snapToGrid/>
              <w:spacing w:before="209" w:line="280" w:lineRule="exact"/>
              <w:ind w:left="112" w:leftChars="0"/>
              <w:jc w:val="center"/>
              <w:textAlignment w:val="auto"/>
              <w:rPr>
                <w:rFonts w:ascii="宋体" w:hAnsi="宋体" w:eastAsia="宋体" w:cs="宋体"/>
                <w:kern w:val="2"/>
                <w:sz w:val="21"/>
                <w:szCs w:val="21"/>
                <w:lang w:val="en-US" w:eastAsia="zh-CN" w:bidi="ar-SA"/>
              </w:rPr>
            </w:pPr>
            <w:r>
              <w:rPr>
                <w:rFonts w:ascii="宋体" w:hAnsi="宋体" w:eastAsia="宋体" w:cs="宋体"/>
                <w:spacing w:val="2"/>
                <w:sz w:val="21"/>
                <w:szCs w:val="21"/>
              </w:rPr>
              <w:t>1套</w:t>
            </w:r>
          </w:p>
        </w:tc>
        <w:tc>
          <w:tcPr>
            <w:tcW w:w="5639" w:type="dxa"/>
            <w:vAlign w:val="center"/>
          </w:tcPr>
          <w:p>
            <w:pPr>
              <w:keepNext w:val="0"/>
              <w:keepLines w:val="0"/>
              <w:pageBreakBefore w:val="0"/>
              <w:widowControl w:val="0"/>
              <w:kinsoku/>
              <w:wordWrap/>
              <w:overflowPunct/>
              <w:topLinePunct w:val="0"/>
              <w:autoSpaceDE/>
              <w:autoSpaceDN/>
              <w:bidi w:val="0"/>
              <w:adjustRightInd/>
              <w:snapToGrid/>
              <w:spacing w:before="208" w:line="280" w:lineRule="exact"/>
              <w:ind w:left="123" w:leftChars="0"/>
              <w:jc w:val="left"/>
              <w:textAlignment w:val="auto"/>
              <w:rPr>
                <w:rFonts w:ascii="宋体" w:hAnsi="宋体" w:eastAsia="宋体" w:cs="宋体"/>
                <w:kern w:val="2"/>
                <w:sz w:val="21"/>
                <w:szCs w:val="21"/>
                <w:lang w:val="en-US" w:eastAsia="zh-CN" w:bidi="ar-SA"/>
              </w:rPr>
            </w:pPr>
            <w:r>
              <w:rPr>
                <w:rFonts w:ascii="宋体" w:hAnsi="宋体" w:eastAsia="宋体" w:cs="宋体"/>
                <w:spacing w:val="-1"/>
                <w:sz w:val="21"/>
                <w:szCs w:val="21"/>
              </w:rPr>
              <w:t>第二排座椅后移，预埋加强、加固、开孔</w:t>
            </w:r>
          </w:p>
        </w:tc>
      </w:tr>
    </w:tbl>
    <w:p>
      <w:pPr>
        <w:spacing w:before="118" w:line="219" w:lineRule="auto"/>
        <w:ind w:left="9"/>
        <w:outlineLvl w:val="6"/>
        <w:rPr>
          <w:rFonts w:hint="eastAsia" w:ascii="宋体" w:hAnsi="宋体" w:eastAsia="宋体" w:cs="宋体"/>
          <w:b/>
          <w:bCs/>
          <w:spacing w:val="5"/>
          <w:sz w:val="29"/>
          <w:szCs w:val="29"/>
        </w:rPr>
      </w:pPr>
    </w:p>
    <w:p>
      <w:pPr>
        <w:widowControl/>
        <w:spacing w:line="360" w:lineRule="auto"/>
        <w:jc w:val="center"/>
        <w:textAlignment w:val="center"/>
        <w:rPr>
          <w:b/>
          <w:color w:val="auto"/>
          <w:sz w:val="30"/>
          <w:szCs w:val="30"/>
        </w:rPr>
      </w:pPr>
      <w:r>
        <w:rPr>
          <w:rFonts w:hint="eastAsia"/>
          <w:b/>
          <w:color w:val="auto"/>
          <w:sz w:val="30"/>
          <w:szCs w:val="30"/>
        </w:rPr>
        <w:t>第四章、</w:t>
      </w:r>
      <w:r>
        <w:rPr>
          <w:b/>
          <w:color w:val="auto"/>
          <w:sz w:val="30"/>
          <w:szCs w:val="30"/>
        </w:rPr>
        <w:t>合同文本</w:t>
      </w:r>
      <w:r>
        <w:rPr>
          <w:rFonts w:hint="eastAsia"/>
          <w:b/>
          <w:color w:val="auto"/>
          <w:sz w:val="30"/>
          <w:szCs w:val="30"/>
        </w:rPr>
        <w:t>（参考文本）</w:t>
      </w:r>
      <w:bookmarkEnd w:id="89"/>
    </w:p>
    <w:p>
      <w:pPr>
        <w:spacing w:line="360" w:lineRule="auto"/>
        <w:rPr>
          <w:rFonts w:ascii="宋体" w:hAnsi="宋体" w:cs="宋体"/>
          <w:b/>
          <w:color w:val="auto"/>
          <w:sz w:val="24"/>
        </w:rPr>
      </w:pP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合同编号：XXXX。</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签订地点：XXXX。</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签订时间：XXXX年XX月XX日。</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 xml:space="preserve">采购人（甲方）：   </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供应商（乙方）：</w:t>
      </w:r>
    </w:p>
    <w:p>
      <w:pPr>
        <w:pStyle w:val="8"/>
        <w:spacing w:line="360" w:lineRule="auto"/>
        <w:ind w:firstLineChars="175"/>
        <w:rPr>
          <w:rFonts w:ascii="宋体" w:hAnsi="宋体" w:cs="仿宋_GB2312"/>
          <w:color w:val="auto"/>
          <w:sz w:val="24"/>
          <w:szCs w:val="24"/>
        </w:rPr>
      </w:pP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根据《中华人民共和国政府采购法》、《中华人民共和国合同法》及项目名称：（项目编号： ）的《竞争性谈判文件》、乙方的《响应文件》及《成交通知书》，甲、乙双方同意签订本合同。详细技术说明及其他有关合同项目的特定信息由合同附件予以说明，合同附件及本项目的竞争性谈判文件、响应文件、《成交通知书》等均为本合同不可分割的部分。双方同意共同遵守如下条款：</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一、合同货物</w:t>
      </w:r>
    </w:p>
    <w:tbl>
      <w:tblPr>
        <w:tblStyle w:val="24"/>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64"/>
        <w:gridCol w:w="1161"/>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464" w:type="dxa"/>
            <w:tcBorders>
              <w:top w:val="single" w:color="auto" w:sz="4" w:space="0"/>
              <w:left w:val="single" w:color="auto" w:sz="4" w:space="0"/>
              <w:bottom w:val="single" w:color="auto" w:sz="4" w:space="0"/>
              <w:right w:val="single" w:color="auto" w:sz="4" w:space="0"/>
            </w:tcBorders>
            <w:vAlign w:val="center"/>
          </w:tcPr>
          <w:p>
            <w:pPr>
              <w:pStyle w:val="8"/>
              <w:spacing w:line="360" w:lineRule="auto"/>
              <w:ind w:firstLine="0"/>
              <w:rPr>
                <w:rFonts w:hint="eastAsia" w:ascii="宋体" w:hAnsi="宋体" w:eastAsia="宋体" w:cs="仿宋_GB2312"/>
                <w:color w:val="auto"/>
                <w:szCs w:val="21"/>
                <w:lang w:eastAsia="zh-CN"/>
              </w:rPr>
            </w:pPr>
            <w:r>
              <w:rPr>
                <w:rFonts w:hint="eastAsia" w:ascii="宋体" w:hAnsi="宋体" w:cs="仿宋_GB2312"/>
                <w:color w:val="auto"/>
                <w:szCs w:val="21"/>
                <w:lang w:eastAsia="zh-CN"/>
              </w:rPr>
              <w:t>设备名称</w:t>
            </w:r>
          </w:p>
        </w:tc>
        <w:tc>
          <w:tcPr>
            <w:tcW w:w="1161" w:type="dxa"/>
            <w:tcBorders>
              <w:top w:val="single" w:color="auto" w:sz="4" w:space="0"/>
              <w:left w:val="single" w:color="auto" w:sz="4" w:space="0"/>
              <w:bottom w:val="single" w:color="auto" w:sz="4" w:space="0"/>
              <w:right w:val="single" w:color="auto" w:sz="4" w:space="0"/>
            </w:tcBorders>
            <w:vAlign w:val="center"/>
          </w:tcPr>
          <w:p>
            <w:pPr>
              <w:pStyle w:val="8"/>
              <w:spacing w:line="360" w:lineRule="auto"/>
              <w:ind w:firstLine="0"/>
              <w:rPr>
                <w:rFonts w:ascii="宋体" w:hAnsi="宋体" w:cs="仿宋_GB2312"/>
                <w:color w:val="auto"/>
                <w:szCs w:val="21"/>
              </w:rPr>
            </w:pPr>
            <w:r>
              <w:rPr>
                <w:rFonts w:hint="eastAsia" w:ascii="宋体" w:hAnsi="宋体" w:cs="仿宋_GB2312"/>
                <w:color w:val="auto"/>
                <w:szCs w:val="21"/>
              </w:rPr>
              <w:t>规格型号</w:t>
            </w:r>
          </w:p>
        </w:tc>
        <w:tc>
          <w:tcPr>
            <w:tcW w:w="720" w:type="dxa"/>
            <w:tcBorders>
              <w:top w:val="single" w:color="auto" w:sz="4" w:space="0"/>
              <w:left w:val="single" w:color="auto" w:sz="4" w:space="0"/>
              <w:bottom w:val="single" w:color="auto" w:sz="4" w:space="0"/>
              <w:right w:val="single" w:color="auto" w:sz="4" w:space="0"/>
            </w:tcBorders>
            <w:vAlign w:val="center"/>
          </w:tcPr>
          <w:p>
            <w:pPr>
              <w:pStyle w:val="8"/>
              <w:spacing w:line="360" w:lineRule="auto"/>
              <w:ind w:firstLine="0"/>
              <w:rPr>
                <w:rFonts w:ascii="宋体" w:hAnsi="宋体" w:cs="仿宋_GB2312"/>
                <w:color w:val="auto"/>
                <w:szCs w:val="21"/>
              </w:rPr>
            </w:pPr>
            <w:r>
              <w:rPr>
                <w:rFonts w:hint="eastAsia" w:ascii="宋体" w:hAnsi="宋体" w:cs="仿宋_GB2312"/>
                <w:color w:val="auto"/>
                <w:szCs w:val="21"/>
              </w:rPr>
              <w:t>单位</w:t>
            </w:r>
          </w:p>
        </w:tc>
        <w:tc>
          <w:tcPr>
            <w:tcW w:w="900" w:type="dxa"/>
            <w:tcBorders>
              <w:top w:val="single" w:color="auto" w:sz="4" w:space="0"/>
              <w:left w:val="single" w:color="auto" w:sz="4" w:space="0"/>
              <w:bottom w:val="single" w:color="auto" w:sz="4" w:space="0"/>
              <w:right w:val="single" w:color="auto" w:sz="4" w:space="0"/>
            </w:tcBorders>
            <w:vAlign w:val="center"/>
          </w:tcPr>
          <w:p>
            <w:pPr>
              <w:pStyle w:val="8"/>
              <w:spacing w:line="360" w:lineRule="auto"/>
              <w:ind w:firstLine="0"/>
              <w:rPr>
                <w:rFonts w:ascii="宋体" w:hAnsi="宋体" w:cs="仿宋_GB2312"/>
                <w:color w:val="auto"/>
                <w:szCs w:val="21"/>
              </w:rPr>
            </w:pPr>
            <w:r>
              <w:rPr>
                <w:rFonts w:hint="eastAsia" w:ascii="宋体" w:hAnsi="宋体" w:cs="仿宋_GB2312"/>
                <w:color w:val="auto"/>
                <w:szCs w:val="21"/>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pStyle w:val="8"/>
              <w:spacing w:line="360" w:lineRule="auto"/>
              <w:ind w:firstLine="0"/>
              <w:jc w:val="center"/>
              <w:rPr>
                <w:rFonts w:ascii="宋体" w:hAnsi="宋体" w:cs="仿宋_GB2312"/>
                <w:color w:val="auto"/>
                <w:szCs w:val="21"/>
              </w:rPr>
            </w:pPr>
            <w:r>
              <w:rPr>
                <w:rFonts w:hint="eastAsia" w:ascii="宋体" w:hAnsi="宋体" w:cs="仿宋_GB2312"/>
                <w:color w:val="auto"/>
                <w:szCs w:val="21"/>
              </w:rPr>
              <w:t>单价</w:t>
            </w:r>
          </w:p>
          <w:p>
            <w:pPr>
              <w:pStyle w:val="8"/>
              <w:spacing w:line="360" w:lineRule="auto"/>
              <w:ind w:firstLine="0"/>
              <w:rPr>
                <w:rFonts w:ascii="宋体" w:hAnsi="宋体" w:cs="仿宋_GB2312"/>
                <w:color w:val="auto"/>
                <w:szCs w:val="21"/>
              </w:rPr>
            </w:pPr>
            <w:r>
              <w:rPr>
                <w:rFonts w:hint="eastAsia" w:ascii="宋体" w:hAnsi="宋体" w:cs="仿宋_GB2312"/>
                <w:color w:val="auto"/>
                <w:szCs w:val="21"/>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pStyle w:val="8"/>
              <w:spacing w:line="360" w:lineRule="auto"/>
              <w:ind w:firstLine="0"/>
              <w:jc w:val="center"/>
              <w:rPr>
                <w:rFonts w:ascii="宋体" w:hAnsi="宋体" w:cs="仿宋_GB2312"/>
                <w:color w:val="auto"/>
                <w:szCs w:val="21"/>
              </w:rPr>
            </w:pPr>
            <w:r>
              <w:rPr>
                <w:rFonts w:hint="eastAsia" w:ascii="宋体" w:hAnsi="宋体" w:cs="仿宋_GB2312"/>
                <w:color w:val="auto"/>
                <w:szCs w:val="21"/>
              </w:rPr>
              <w:t>总价</w:t>
            </w:r>
          </w:p>
          <w:p>
            <w:pPr>
              <w:pStyle w:val="8"/>
              <w:spacing w:line="360" w:lineRule="auto"/>
              <w:ind w:firstLine="0"/>
              <w:rPr>
                <w:rFonts w:ascii="宋体" w:hAnsi="宋体" w:cs="仿宋_GB2312"/>
                <w:color w:val="auto"/>
                <w:szCs w:val="21"/>
              </w:rPr>
            </w:pPr>
            <w:r>
              <w:rPr>
                <w:rFonts w:hint="eastAsia" w:ascii="宋体" w:hAnsi="宋体" w:cs="仿宋_GB2312"/>
                <w:color w:val="auto"/>
                <w:szCs w:val="21"/>
              </w:rPr>
              <w:t>（万元）</w:t>
            </w:r>
          </w:p>
        </w:tc>
        <w:tc>
          <w:tcPr>
            <w:tcW w:w="1260" w:type="dxa"/>
            <w:tcBorders>
              <w:top w:val="single" w:color="auto" w:sz="4" w:space="0"/>
              <w:left w:val="single" w:color="auto" w:sz="4" w:space="0"/>
              <w:bottom w:val="single" w:color="auto" w:sz="4" w:space="0"/>
              <w:right w:val="single" w:color="auto" w:sz="4" w:space="0"/>
            </w:tcBorders>
            <w:vAlign w:val="center"/>
          </w:tcPr>
          <w:p>
            <w:pPr>
              <w:pStyle w:val="8"/>
              <w:spacing w:line="360" w:lineRule="auto"/>
              <w:ind w:firstLine="367" w:firstLineChars="175"/>
              <w:rPr>
                <w:rFonts w:ascii="宋体" w:hAnsi="宋体" w:cs="仿宋_GB2312"/>
                <w:color w:val="auto"/>
                <w:szCs w:val="21"/>
              </w:rPr>
            </w:pPr>
            <w:r>
              <w:rPr>
                <w:rFonts w:hint="eastAsia" w:ascii="宋体" w:hAnsi="宋体" w:cs="仿宋_GB2312"/>
                <w:color w:val="auto"/>
                <w:szCs w:val="21"/>
              </w:rPr>
              <w:t>随机</w:t>
            </w:r>
          </w:p>
          <w:p>
            <w:pPr>
              <w:pStyle w:val="8"/>
              <w:spacing w:line="360" w:lineRule="auto"/>
              <w:ind w:firstLine="367" w:firstLineChars="175"/>
              <w:rPr>
                <w:rFonts w:ascii="宋体" w:hAnsi="宋体" w:cs="仿宋_GB2312"/>
                <w:color w:val="auto"/>
                <w:szCs w:val="21"/>
              </w:rPr>
            </w:pPr>
            <w:r>
              <w:rPr>
                <w:rFonts w:hint="eastAsia" w:ascii="宋体" w:hAnsi="宋体" w:cs="仿宋_GB2312"/>
                <w:color w:val="auto"/>
                <w:szCs w:val="21"/>
              </w:rPr>
              <w:t>配件</w:t>
            </w:r>
          </w:p>
        </w:tc>
        <w:tc>
          <w:tcPr>
            <w:tcW w:w="1260" w:type="dxa"/>
            <w:tcBorders>
              <w:top w:val="single" w:color="auto" w:sz="4" w:space="0"/>
              <w:left w:val="single" w:color="auto" w:sz="4" w:space="0"/>
              <w:bottom w:val="single" w:color="auto" w:sz="4" w:space="0"/>
              <w:right w:val="single" w:color="auto" w:sz="4" w:space="0"/>
            </w:tcBorders>
            <w:vAlign w:val="center"/>
          </w:tcPr>
          <w:p>
            <w:pPr>
              <w:pStyle w:val="8"/>
              <w:spacing w:line="360" w:lineRule="auto"/>
              <w:ind w:firstLine="367" w:firstLineChars="175"/>
              <w:rPr>
                <w:rFonts w:ascii="宋体" w:hAnsi="宋体" w:cs="仿宋_GB2312"/>
                <w:color w:val="auto"/>
                <w:szCs w:val="21"/>
              </w:rPr>
            </w:pPr>
            <w:r>
              <w:rPr>
                <w:rFonts w:hint="eastAsia" w:ascii="宋体" w:hAnsi="宋体" w:cs="仿宋_GB2312"/>
                <w:color w:val="auto"/>
                <w:szCs w:val="21"/>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464" w:type="dxa"/>
            <w:tcBorders>
              <w:top w:val="single" w:color="auto" w:sz="4" w:space="0"/>
              <w:left w:val="single" w:color="auto" w:sz="4" w:space="0"/>
              <w:bottom w:val="single" w:color="auto" w:sz="4" w:space="0"/>
              <w:right w:val="single" w:color="auto" w:sz="4" w:space="0"/>
            </w:tcBorders>
            <w:vAlign w:val="center"/>
          </w:tcPr>
          <w:p>
            <w:pPr>
              <w:pStyle w:val="8"/>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1161" w:type="dxa"/>
            <w:tcBorders>
              <w:top w:val="single" w:color="auto" w:sz="4" w:space="0"/>
              <w:left w:val="single" w:color="auto" w:sz="4" w:space="0"/>
              <w:bottom w:val="single" w:color="auto" w:sz="4" w:space="0"/>
              <w:right w:val="single" w:color="auto" w:sz="4" w:space="0"/>
            </w:tcBorders>
            <w:vAlign w:val="center"/>
          </w:tcPr>
          <w:p>
            <w:pPr>
              <w:pStyle w:val="8"/>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720" w:type="dxa"/>
            <w:tcBorders>
              <w:top w:val="single" w:color="auto" w:sz="4" w:space="0"/>
              <w:left w:val="single" w:color="auto" w:sz="4" w:space="0"/>
              <w:bottom w:val="single" w:color="auto" w:sz="4" w:space="0"/>
              <w:right w:val="single" w:color="auto" w:sz="4" w:space="0"/>
            </w:tcBorders>
            <w:vAlign w:val="center"/>
          </w:tcPr>
          <w:p>
            <w:pPr>
              <w:pStyle w:val="8"/>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900" w:type="dxa"/>
            <w:tcBorders>
              <w:top w:val="single" w:color="auto" w:sz="4" w:space="0"/>
              <w:left w:val="single" w:color="auto" w:sz="4" w:space="0"/>
              <w:bottom w:val="single" w:color="auto" w:sz="4" w:space="0"/>
              <w:right w:val="single" w:color="auto" w:sz="4" w:space="0"/>
            </w:tcBorders>
            <w:vAlign w:val="center"/>
          </w:tcPr>
          <w:p>
            <w:pPr>
              <w:pStyle w:val="8"/>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pStyle w:val="8"/>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1185" w:type="dxa"/>
            <w:tcBorders>
              <w:top w:val="single" w:color="auto" w:sz="4" w:space="0"/>
              <w:left w:val="single" w:color="auto" w:sz="4" w:space="0"/>
              <w:bottom w:val="single" w:color="auto" w:sz="4" w:space="0"/>
              <w:right w:val="single" w:color="auto" w:sz="4" w:space="0"/>
            </w:tcBorders>
            <w:vAlign w:val="center"/>
          </w:tcPr>
          <w:p>
            <w:pPr>
              <w:pStyle w:val="8"/>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pStyle w:val="8"/>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pStyle w:val="8"/>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464" w:type="dxa"/>
            <w:tcBorders>
              <w:top w:val="single" w:color="auto" w:sz="4" w:space="0"/>
              <w:left w:val="single" w:color="auto" w:sz="4" w:space="0"/>
              <w:bottom w:val="single" w:color="auto" w:sz="4" w:space="0"/>
              <w:right w:val="single" w:color="auto" w:sz="4" w:space="0"/>
            </w:tcBorders>
            <w:vAlign w:val="center"/>
          </w:tcPr>
          <w:p>
            <w:pPr>
              <w:pStyle w:val="8"/>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1161" w:type="dxa"/>
            <w:tcBorders>
              <w:top w:val="single" w:color="auto" w:sz="4" w:space="0"/>
              <w:left w:val="single" w:color="auto" w:sz="4" w:space="0"/>
              <w:bottom w:val="single" w:color="auto" w:sz="4" w:space="0"/>
              <w:right w:val="single" w:color="auto" w:sz="4" w:space="0"/>
            </w:tcBorders>
            <w:vAlign w:val="center"/>
          </w:tcPr>
          <w:p>
            <w:pPr>
              <w:pStyle w:val="8"/>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720" w:type="dxa"/>
            <w:tcBorders>
              <w:top w:val="single" w:color="auto" w:sz="4" w:space="0"/>
              <w:left w:val="single" w:color="auto" w:sz="4" w:space="0"/>
              <w:bottom w:val="single" w:color="auto" w:sz="4" w:space="0"/>
              <w:right w:val="single" w:color="auto" w:sz="4" w:space="0"/>
            </w:tcBorders>
            <w:vAlign w:val="center"/>
          </w:tcPr>
          <w:p>
            <w:pPr>
              <w:pStyle w:val="8"/>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900" w:type="dxa"/>
            <w:tcBorders>
              <w:top w:val="single" w:color="auto" w:sz="4" w:space="0"/>
              <w:left w:val="single" w:color="auto" w:sz="4" w:space="0"/>
              <w:bottom w:val="single" w:color="auto" w:sz="4" w:space="0"/>
              <w:right w:val="single" w:color="auto" w:sz="4" w:space="0"/>
            </w:tcBorders>
            <w:vAlign w:val="center"/>
          </w:tcPr>
          <w:p>
            <w:pPr>
              <w:pStyle w:val="8"/>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pStyle w:val="8"/>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1185" w:type="dxa"/>
            <w:tcBorders>
              <w:top w:val="single" w:color="auto" w:sz="4" w:space="0"/>
              <w:left w:val="single" w:color="auto" w:sz="4" w:space="0"/>
              <w:bottom w:val="single" w:color="auto" w:sz="4" w:space="0"/>
              <w:right w:val="single" w:color="auto" w:sz="4" w:space="0"/>
            </w:tcBorders>
            <w:vAlign w:val="center"/>
          </w:tcPr>
          <w:p>
            <w:pPr>
              <w:pStyle w:val="8"/>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pStyle w:val="8"/>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pStyle w:val="8"/>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r>
    </w:tbl>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二、合同总价</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合同总价为人民币大写：元，即RMB￥元；该合同总价已包括货物、材料、制造、包装、运输、验收合格交付使用之前及保修期内保修服务与备用物件等所有其他有关各项的含税费用。本合同执行期间合同总价不变，甲方无须另向乙方支付本合同规定之外的其他任何费用。</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三、货物要求</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1.所有设备必须是厂商原装、全新的正品，符合国家及该产品的出厂标准，并完全符合甲方要求的产品。</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2.附货物具体技术参数。</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四、交货时间及交货地点</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1.交货时间：</w:t>
      </w:r>
      <w:r>
        <w:rPr>
          <w:rFonts w:hint="eastAsia" w:ascii="宋体" w:hAnsi="宋体" w:cs="仿宋_GB2312"/>
          <w:color w:val="auto"/>
          <w:sz w:val="24"/>
          <w:szCs w:val="24"/>
          <w:u w:val="single"/>
        </w:rPr>
        <w:t xml:space="preserve"> </w:t>
      </w:r>
      <w:r>
        <w:rPr>
          <w:rFonts w:ascii="宋体" w:hAnsi="宋体" w:cs="仿宋_GB2312"/>
          <w:color w:val="auto"/>
          <w:sz w:val="24"/>
          <w:szCs w:val="24"/>
          <w:u w:val="single"/>
        </w:rPr>
        <w:t xml:space="preserve">                    </w:t>
      </w:r>
      <w:r>
        <w:rPr>
          <w:rFonts w:hint="eastAsia" w:ascii="宋体" w:hAnsi="宋体" w:cs="仿宋_GB2312"/>
          <w:color w:val="auto"/>
          <w:sz w:val="24"/>
          <w:szCs w:val="24"/>
        </w:rPr>
        <w:t>。</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2.交货地点：采购人指定地点。</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五、付款方式</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u w:val="single"/>
        </w:rPr>
        <w:t xml:space="preserve">                                    </w:t>
      </w:r>
      <w:r>
        <w:rPr>
          <w:rFonts w:hint="eastAsia" w:ascii="宋体" w:hAnsi="宋体" w:cs="仿宋_GB2312"/>
          <w:color w:val="auto"/>
          <w:sz w:val="24"/>
          <w:szCs w:val="24"/>
        </w:rPr>
        <w:t>。</w:t>
      </w:r>
    </w:p>
    <w:p>
      <w:pPr>
        <w:pStyle w:val="8"/>
        <w:spacing w:line="360" w:lineRule="auto"/>
        <w:rPr>
          <w:rFonts w:ascii="宋体" w:hAnsi="宋体" w:cs="仿宋_GB2312"/>
          <w:color w:val="auto"/>
          <w:sz w:val="24"/>
          <w:szCs w:val="24"/>
        </w:rPr>
      </w:pPr>
      <w:r>
        <w:rPr>
          <w:rFonts w:hint="eastAsia" w:ascii="宋体" w:hAnsi="宋体" w:cs="仿宋_GB2312"/>
          <w:color w:val="auto"/>
          <w:sz w:val="24"/>
          <w:szCs w:val="24"/>
        </w:rPr>
        <w:t>六、质保期及售后服务要求</w:t>
      </w:r>
    </w:p>
    <w:p>
      <w:pPr>
        <w:shd w:val="clear" w:color="auto" w:fill="FFFFFF"/>
        <w:spacing w:line="360" w:lineRule="auto"/>
        <w:rPr>
          <w:rFonts w:hint="eastAsia" w:ascii="宋体" w:hAnsi="宋体" w:eastAsia="宋体" w:cs="仿宋_GB2312"/>
          <w:color w:val="auto"/>
          <w:kern w:val="2"/>
          <w:sz w:val="24"/>
          <w:szCs w:val="24"/>
          <w:lang w:val="en-US" w:eastAsia="zh-CN" w:bidi="ar-SA"/>
        </w:rPr>
      </w:pPr>
      <w:r>
        <w:rPr>
          <w:rFonts w:hint="eastAsia" w:ascii="宋体" w:hAnsi="宋体" w:eastAsia="宋体" w:cs="仿宋_GB2312"/>
          <w:color w:val="auto"/>
          <w:kern w:val="2"/>
          <w:sz w:val="24"/>
          <w:szCs w:val="24"/>
          <w:lang w:val="en-US" w:eastAsia="zh-CN" w:bidi="ar-SA"/>
        </w:rPr>
        <w:t>提供全方位的、优质的、高效的质量保证体系，以及技术支持和售后服务。包括不限于如下内容：</w:t>
      </w:r>
    </w:p>
    <w:p>
      <w:pPr>
        <w:shd w:val="clear" w:color="auto" w:fill="FFFFFF"/>
        <w:spacing w:line="360" w:lineRule="auto"/>
        <w:rPr>
          <w:rFonts w:hint="eastAsia" w:ascii="宋体" w:hAnsi="宋体" w:eastAsia="宋体" w:cs="仿宋_GB2312"/>
          <w:color w:val="auto"/>
          <w:kern w:val="2"/>
          <w:sz w:val="24"/>
          <w:szCs w:val="24"/>
          <w:lang w:val="en-US" w:eastAsia="zh-CN" w:bidi="ar-SA"/>
        </w:rPr>
      </w:pPr>
      <w:r>
        <w:rPr>
          <w:rFonts w:hint="eastAsia" w:ascii="宋体" w:hAnsi="宋体" w:eastAsia="宋体" w:cs="仿宋_GB2312"/>
          <w:color w:val="auto"/>
          <w:kern w:val="2"/>
          <w:sz w:val="24"/>
          <w:szCs w:val="24"/>
          <w:lang w:val="en-US" w:eastAsia="zh-CN" w:bidi="ar-SA"/>
        </w:rPr>
        <w:t>（1）须在投标文件中应充分考虑技术支持与售后服务；</w:t>
      </w:r>
    </w:p>
    <w:p>
      <w:pPr>
        <w:shd w:val="clear" w:color="auto" w:fill="FFFFFF"/>
        <w:spacing w:line="360" w:lineRule="auto"/>
        <w:rPr>
          <w:rFonts w:hint="eastAsia" w:ascii="宋体" w:hAnsi="宋体" w:eastAsia="宋体" w:cs="仿宋_GB2312"/>
          <w:color w:val="auto"/>
          <w:kern w:val="2"/>
          <w:sz w:val="24"/>
          <w:szCs w:val="24"/>
          <w:lang w:val="en-US" w:eastAsia="zh-CN" w:bidi="ar-SA"/>
        </w:rPr>
      </w:pPr>
      <w:r>
        <w:rPr>
          <w:rFonts w:hint="eastAsia" w:ascii="宋体" w:hAnsi="宋体" w:eastAsia="宋体" w:cs="仿宋_GB2312"/>
          <w:color w:val="auto"/>
          <w:kern w:val="2"/>
          <w:sz w:val="24"/>
          <w:szCs w:val="24"/>
          <w:lang w:val="en-US" w:eastAsia="zh-CN" w:bidi="ar-SA"/>
        </w:rPr>
        <w:t>（2）须提供详细的售后服务计划，服务内容、服务方式及响应时间；</w:t>
      </w:r>
    </w:p>
    <w:p>
      <w:pPr>
        <w:shd w:val="clear" w:color="auto" w:fill="FFFFFF"/>
        <w:spacing w:line="360" w:lineRule="auto"/>
        <w:rPr>
          <w:rFonts w:hint="eastAsia" w:ascii="宋体" w:hAnsi="宋体" w:eastAsia="宋体" w:cs="仿宋_GB2312"/>
          <w:color w:val="auto"/>
          <w:kern w:val="2"/>
          <w:sz w:val="24"/>
          <w:szCs w:val="24"/>
          <w:lang w:val="en-US" w:eastAsia="zh-CN" w:bidi="ar-SA"/>
        </w:rPr>
      </w:pPr>
      <w:r>
        <w:rPr>
          <w:rFonts w:hint="eastAsia" w:ascii="宋体" w:hAnsi="宋体" w:eastAsia="宋体" w:cs="仿宋_GB2312"/>
          <w:color w:val="auto"/>
          <w:kern w:val="2"/>
          <w:sz w:val="24"/>
          <w:szCs w:val="24"/>
          <w:lang w:val="en-US" w:eastAsia="zh-CN" w:bidi="ar-SA"/>
        </w:rPr>
        <w:t>（3）须提供完备的项目验收文档资料，包括系统安装维护手册、用户使用手册、需求定义文档、设计文档等；</w:t>
      </w:r>
    </w:p>
    <w:p>
      <w:pPr>
        <w:shd w:val="clear" w:color="auto" w:fill="FFFFFF"/>
        <w:spacing w:line="360" w:lineRule="auto"/>
        <w:rPr>
          <w:rFonts w:hint="eastAsia" w:ascii="宋体" w:hAnsi="宋体" w:eastAsia="宋体" w:cs="仿宋_GB2312"/>
          <w:color w:val="auto"/>
          <w:kern w:val="2"/>
          <w:sz w:val="24"/>
          <w:szCs w:val="24"/>
          <w:lang w:val="en-US" w:eastAsia="zh-CN" w:bidi="ar-SA"/>
        </w:rPr>
      </w:pPr>
      <w:r>
        <w:rPr>
          <w:rFonts w:hint="eastAsia" w:ascii="宋体" w:hAnsi="宋体" w:eastAsia="宋体" w:cs="仿宋_GB2312"/>
          <w:color w:val="auto"/>
          <w:kern w:val="2"/>
          <w:sz w:val="24"/>
          <w:szCs w:val="24"/>
          <w:lang w:val="en-US" w:eastAsia="zh-CN" w:bidi="ar-SA"/>
        </w:rPr>
        <w:t>（4）须按照厂家三包标准，质保期外负责维修原则提供硬件设备保障；</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七、验收：</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由甲方组织，乙方配合，根据对本项目采购需求响应情况及国家行业标准进行验收。</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八、违约责任与赔偿损失</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1.乙方交付的货物不符合竞争性磋商文件、报价文件或本合同规定的，甲方有权拒收，并且乙方须向甲方支付本合同总价5%的违约金。</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2. 乙方未能按本合同规定的交货时间交付货物，从逾期之日起每日按本合同总价3‰的数额向甲方支付违约金；逾期半个月以上的，甲方有权终止合同，由此造成的甲方经济损失由乙方承担。</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3. 甲方无正当理由拒收货物，到期拒付货物款项的，甲方向乙方偿付本合同总的5%的违约金。甲方人逾期付款，则每日按本合同总价的3‰向乙方偿付违约金。</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4. 其它违约责任按《中华人民共和国合同法》处理。</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九、争议的解决</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1.合同执行过程中发生的任何争议，如双方不能通过友好协商解决，按相关法律法规处理。</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十、不可抗力：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十一、税费：在中国境内、外发生的与本合同执行有关的一切税费均由乙方负担。</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十二、其它</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1. 本合同所有附件、竞争性谈判文件、响应文件、成交通知书均为合同的有效组成部分，与本合同具有同等法律效力。</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2. 在执行本合同的过程中，所有经双方签署确认的文件（包括会议纪要、补充协议、往来信函）即成为本合同的有效组成部分。</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 xml:space="preserve">3. 如一方地址、电话、传真号码有变更，应在变更当日内书面通知对方，否则，应承担相应责任。 </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4. 除甲方事先书面同意外，乙方不得部分或全部转让其应履行的合同项下的义务。</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十三、合同生效：</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1.本合同在甲乙双方法人代表或其授权代表签字盖章后生效。</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2.合同一式</w:t>
      </w:r>
      <w:r>
        <w:rPr>
          <w:rFonts w:hint="eastAsia" w:ascii="宋体" w:hAnsi="宋体" w:cs="仿宋_GB2312"/>
          <w:color w:val="auto"/>
          <w:sz w:val="24"/>
          <w:szCs w:val="24"/>
          <w:u w:val="single"/>
          <w:lang w:val="en-US" w:eastAsia="zh-CN"/>
        </w:rPr>
        <w:t xml:space="preserve">  </w:t>
      </w:r>
      <w:r>
        <w:rPr>
          <w:rFonts w:hint="eastAsia" w:ascii="宋体" w:hAnsi="宋体" w:cs="仿宋_GB2312"/>
          <w:color w:val="auto"/>
          <w:sz w:val="24"/>
          <w:szCs w:val="24"/>
        </w:rPr>
        <w:t>份。甲、乙方双方各执</w:t>
      </w:r>
      <w:r>
        <w:rPr>
          <w:rFonts w:hint="eastAsia" w:ascii="宋体" w:hAnsi="宋体" w:cs="仿宋_GB2312"/>
          <w:color w:val="auto"/>
          <w:sz w:val="24"/>
          <w:szCs w:val="24"/>
          <w:u w:val="single"/>
          <w:lang w:val="en-US" w:eastAsia="zh-CN"/>
        </w:rPr>
        <w:t xml:space="preserve">    </w:t>
      </w:r>
      <w:r>
        <w:rPr>
          <w:rFonts w:hint="eastAsia" w:ascii="宋体" w:hAnsi="宋体" w:cs="仿宋_GB2312"/>
          <w:color w:val="auto"/>
          <w:sz w:val="24"/>
          <w:szCs w:val="24"/>
        </w:rPr>
        <w:t>份，采购代理机构</w:t>
      </w:r>
      <w:r>
        <w:rPr>
          <w:rFonts w:hint="eastAsia" w:ascii="宋体" w:hAnsi="宋体" w:cs="仿宋_GB2312"/>
          <w:color w:val="auto"/>
          <w:sz w:val="24"/>
          <w:szCs w:val="24"/>
          <w:lang w:eastAsia="zh-CN"/>
        </w:rPr>
        <w:t>两</w:t>
      </w:r>
      <w:r>
        <w:rPr>
          <w:rFonts w:hint="eastAsia" w:ascii="宋体" w:hAnsi="宋体" w:cs="仿宋_GB2312"/>
          <w:color w:val="auto"/>
          <w:sz w:val="24"/>
          <w:szCs w:val="24"/>
        </w:rPr>
        <w:t>份。</w:t>
      </w:r>
    </w:p>
    <w:p>
      <w:pPr>
        <w:pStyle w:val="8"/>
        <w:spacing w:line="360" w:lineRule="auto"/>
        <w:ind w:firstLineChars="175"/>
        <w:rPr>
          <w:rFonts w:ascii="宋体" w:hAnsi="宋体" w:cs="仿宋_GB2312"/>
          <w:color w:val="auto"/>
          <w:sz w:val="24"/>
          <w:szCs w:val="24"/>
        </w:rPr>
      </w:pP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甲方：   （盖章）</w:t>
      </w:r>
      <w:r>
        <w:rPr>
          <w:rFonts w:hint="eastAsia" w:ascii="宋体" w:hAnsi="宋体" w:cs="仿宋_GB2312"/>
          <w:color w:val="auto"/>
          <w:sz w:val="24"/>
          <w:szCs w:val="24"/>
        </w:rPr>
        <w:tab/>
      </w:r>
      <w:r>
        <w:rPr>
          <w:rFonts w:hint="eastAsia" w:ascii="宋体" w:hAnsi="宋体" w:cs="仿宋_GB2312"/>
          <w:color w:val="auto"/>
          <w:sz w:val="24"/>
          <w:szCs w:val="24"/>
        </w:rPr>
        <w:tab/>
      </w:r>
      <w:r>
        <w:rPr>
          <w:rFonts w:hint="eastAsia" w:ascii="宋体" w:hAnsi="宋体" w:cs="仿宋_GB2312"/>
          <w:color w:val="auto"/>
          <w:sz w:val="24"/>
          <w:szCs w:val="24"/>
        </w:rPr>
        <w:tab/>
      </w:r>
      <w:r>
        <w:rPr>
          <w:rFonts w:hint="eastAsia" w:ascii="宋体" w:hAnsi="宋体" w:cs="仿宋_GB2312"/>
          <w:color w:val="auto"/>
          <w:sz w:val="24"/>
          <w:szCs w:val="24"/>
        </w:rPr>
        <w:t xml:space="preserve">             乙方：（盖章）</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法定代表人（授权代表）：             法定代表人（授权代表）：</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地址：                               地址：</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开户银行：                           开户银行：</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账号：                               账号：</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电话：                               电话：</w:t>
      </w:r>
    </w:p>
    <w:p>
      <w:pPr>
        <w:pStyle w:val="8"/>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传真：                               传真：</w:t>
      </w:r>
    </w:p>
    <w:p>
      <w:pPr>
        <w:pStyle w:val="8"/>
        <w:spacing w:line="360" w:lineRule="auto"/>
        <w:ind w:firstLineChars="175"/>
        <w:rPr>
          <w:rFonts w:ascii="宋体" w:hAnsi="宋体"/>
          <w:b/>
          <w:color w:val="auto"/>
          <w:sz w:val="44"/>
          <w:szCs w:val="44"/>
        </w:rPr>
      </w:pPr>
      <w:r>
        <w:rPr>
          <w:rFonts w:hint="eastAsia" w:ascii="宋体" w:hAnsi="宋体" w:cs="仿宋_GB2312"/>
          <w:color w:val="auto"/>
          <w:sz w:val="24"/>
          <w:szCs w:val="24"/>
        </w:rPr>
        <w:t>签约日期：XX年XX月XX日</w:t>
      </w:r>
      <w:r>
        <w:rPr>
          <w:rFonts w:hint="eastAsia" w:ascii="宋体" w:hAnsi="宋体" w:cs="仿宋_GB2312"/>
          <w:color w:val="auto"/>
          <w:sz w:val="24"/>
          <w:szCs w:val="24"/>
        </w:rPr>
        <w:tab/>
      </w:r>
      <w:r>
        <w:rPr>
          <w:rFonts w:hint="eastAsia" w:ascii="宋体" w:hAnsi="宋体" w:cs="仿宋_GB2312"/>
          <w:color w:val="auto"/>
          <w:sz w:val="24"/>
          <w:szCs w:val="24"/>
        </w:rPr>
        <w:tab/>
      </w:r>
      <w:r>
        <w:rPr>
          <w:rFonts w:hint="eastAsia" w:ascii="宋体" w:hAnsi="宋体" w:cs="仿宋_GB2312"/>
          <w:color w:val="auto"/>
          <w:sz w:val="24"/>
          <w:szCs w:val="24"/>
        </w:rPr>
        <w:tab/>
      </w:r>
      <w:r>
        <w:rPr>
          <w:rFonts w:hint="eastAsia" w:ascii="宋体" w:hAnsi="宋体" w:cs="仿宋_GB2312"/>
          <w:color w:val="auto"/>
          <w:sz w:val="24"/>
          <w:szCs w:val="24"/>
        </w:rPr>
        <w:t xml:space="preserve">  签约日期：XX年XX月XX日</w:t>
      </w:r>
    </w:p>
    <w:p>
      <w:pPr>
        <w:snapToGrid w:val="0"/>
        <w:spacing w:before="19" w:line="360" w:lineRule="auto"/>
        <w:rPr>
          <w:rFonts w:hint="eastAsia" w:ascii="宋体" w:hAnsi="宋体"/>
          <w:b/>
          <w:color w:val="auto"/>
          <w:sz w:val="28"/>
        </w:rPr>
      </w:pPr>
    </w:p>
    <w:p>
      <w:pPr>
        <w:snapToGrid w:val="0"/>
        <w:spacing w:before="19" w:line="360" w:lineRule="auto"/>
        <w:ind w:firstLine="281" w:firstLineChars="100"/>
        <w:rPr>
          <w:rFonts w:ascii="宋体" w:hAnsi="宋体"/>
          <w:b/>
          <w:color w:val="auto"/>
          <w:sz w:val="28"/>
          <w:u w:val="single"/>
        </w:rPr>
      </w:pPr>
      <w:r>
        <w:rPr>
          <w:rFonts w:hint="eastAsia" w:ascii="宋体" w:hAnsi="宋体"/>
          <w:b/>
          <w:color w:val="auto"/>
          <w:sz w:val="28"/>
        </w:rPr>
        <w:t>招标代理：</w:t>
      </w:r>
      <w:r>
        <w:rPr>
          <w:rFonts w:hint="eastAsia" w:ascii="宋体" w:hAnsi="宋体"/>
          <w:b/>
          <w:color w:val="auto"/>
          <w:sz w:val="28"/>
          <w:u w:val="single"/>
          <w:lang w:eastAsia="zh-CN"/>
        </w:rPr>
        <w:t>海南众采招标代理有限公司</w:t>
      </w:r>
      <w:r>
        <w:rPr>
          <w:rFonts w:hint="eastAsia" w:ascii="宋体" w:hAnsi="宋体"/>
          <w:b/>
          <w:color w:val="auto"/>
          <w:sz w:val="28"/>
          <w:u w:val="single"/>
        </w:rPr>
        <w:t>（盖章）</w:t>
      </w:r>
    </w:p>
    <w:p>
      <w:pPr>
        <w:snapToGrid w:val="0"/>
        <w:spacing w:before="19" w:line="360" w:lineRule="auto"/>
        <w:ind w:firstLine="280" w:firstLineChars="100"/>
        <w:rPr>
          <w:color w:val="auto"/>
        </w:rPr>
      </w:pPr>
      <w:r>
        <w:rPr>
          <w:rFonts w:hint="eastAsia" w:ascii="宋体" w:hAnsi="宋体"/>
          <w:color w:val="auto"/>
          <w:sz w:val="28"/>
        </w:rPr>
        <w:t>经办人：</w:t>
      </w:r>
      <w:r>
        <w:rPr>
          <w:rFonts w:hint="eastAsia" w:ascii="宋体" w:hAnsi="宋体"/>
          <w:color w:val="auto"/>
          <w:sz w:val="28"/>
          <w:u w:val="single"/>
        </w:rPr>
        <w:t xml:space="preserve">       </w:t>
      </w:r>
      <w:r>
        <w:rPr>
          <w:rFonts w:hint="eastAsia" w:ascii="宋体" w:hAnsi="宋体"/>
          <w:color w:val="auto"/>
          <w:sz w:val="28"/>
          <w:u w:val="single"/>
          <w:lang w:val="en-US" w:eastAsia="zh-CN"/>
        </w:rPr>
        <w:t xml:space="preserve"> </w:t>
      </w:r>
      <w:r>
        <w:rPr>
          <w:rFonts w:hint="eastAsia" w:ascii="宋体" w:hAnsi="宋体"/>
          <w:color w:val="auto"/>
          <w:sz w:val="28"/>
          <w:u w:val="none"/>
        </w:rPr>
        <w:t xml:space="preserve">     </w:t>
      </w:r>
      <w:r>
        <w:rPr>
          <w:rFonts w:hint="eastAsia" w:ascii="宋体" w:hAnsi="宋体"/>
          <w:color w:val="auto"/>
          <w:sz w:val="28"/>
          <w:u w:val="none"/>
          <w:lang w:val="en-US" w:eastAsia="zh-CN"/>
        </w:rPr>
        <w:t xml:space="preserve">            </w:t>
      </w:r>
      <w:r>
        <w:rPr>
          <w:rFonts w:hint="eastAsia" w:ascii="宋体" w:hAnsi="宋体"/>
          <w:color w:val="auto"/>
          <w:sz w:val="28"/>
          <w:u w:val="single"/>
          <w:lang w:val="en-US" w:eastAsia="zh-CN"/>
        </w:rPr>
        <w:t xml:space="preserve">  </w:t>
      </w:r>
      <w:r>
        <w:rPr>
          <w:rFonts w:hint="eastAsia" w:ascii="宋体" w:hAnsi="宋体"/>
          <w:color w:val="auto"/>
          <w:sz w:val="28"/>
          <w:u w:val="single"/>
        </w:rPr>
        <w:t xml:space="preserve"> </w:t>
      </w:r>
      <w:r>
        <w:rPr>
          <w:rFonts w:hint="eastAsia" w:ascii="宋体" w:hAnsi="宋体"/>
          <w:color w:val="auto"/>
          <w:sz w:val="28"/>
          <w:u w:val="single"/>
          <w:lang w:val="en-US" w:eastAsia="zh-CN"/>
        </w:rPr>
        <w:t xml:space="preserve">  </w:t>
      </w:r>
      <w:r>
        <w:rPr>
          <w:rFonts w:hint="eastAsia" w:ascii="宋体" w:hAnsi="宋体"/>
          <w:color w:val="auto"/>
          <w:sz w:val="28"/>
          <w:u w:val="single"/>
        </w:rPr>
        <w:t xml:space="preserve"> </w:t>
      </w:r>
      <w:r>
        <w:rPr>
          <w:rFonts w:hint="eastAsia" w:ascii="宋体" w:hAnsi="宋体"/>
          <w:color w:val="auto"/>
          <w:sz w:val="28"/>
        </w:rPr>
        <w:t>年</w:t>
      </w:r>
      <w:r>
        <w:rPr>
          <w:rFonts w:hint="eastAsia" w:ascii="宋体" w:hAnsi="宋体"/>
          <w:color w:val="auto"/>
          <w:sz w:val="28"/>
          <w:u w:val="single"/>
        </w:rPr>
        <w:t xml:space="preserve">   </w:t>
      </w:r>
      <w:r>
        <w:rPr>
          <w:rFonts w:hint="eastAsia" w:ascii="宋体" w:hAnsi="宋体"/>
          <w:color w:val="auto"/>
          <w:sz w:val="28"/>
        </w:rPr>
        <w:t>月</w:t>
      </w:r>
      <w:r>
        <w:rPr>
          <w:rFonts w:hint="eastAsia" w:ascii="宋体" w:hAnsi="宋体"/>
          <w:color w:val="auto"/>
          <w:sz w:val="28"/>
          <w:u w:val="single"/>
        </w:rPr>
        <w:t xml:space="preserve">    </w:t>
      </w:r>
    </w:p>
    <w:p>
      <w:pPr>
        <w:rPr>
          <w:rFonts w:ascii="宋体" w:hAnsi="宋体" w:eastAsia="宋体" w:cs="黑体"/>
          <w:color w:val="auto"/>
        </w:rPr>
      </w:pPr>
      <w:bookmarkStart w:id="92" w:name="_Toc1660549"/>
      <w:r>
        <w:rPr>
          <w:rFonts w:hint="eastAsia" w:ascii="宋体" w:hAnsi="宋体" w:eastAsia="宋体" w:cs="黑体"/>
          <w:color w:val="auto"/>
        </w:rPr>
        <w:br w:type="page"/>
      </w:r>
    </w:p>
    <w:p>
      <w:pPr>
        <w:pStyle w:val="7"/>
        <w:numPr>
          <w:ilvl w:val="0"/>
          <w:numId w:val="5"/>
        </w:numPr>
        <w:spacing w:line="360" w:lineRule="auto"/>
        <w:jc w:val="center"/>
        <w:rPr>
          <w:rFonts w:ascii="宋体" w:hAnsi="宋体" w:eastAsia="宋体" w:cs="黑体"/>
          <w:color w:val="auto"/>
        </w:rPr>
      </w:pPr>
      <w:r>
        <w:rPr>
          <w:rFonts w:hint="eastAsia" w:ascii="宋体" w:hAnsi="宋体" w:eastAsia="宋体" w:cs="黑体"/>
          <w:color w:val="auto"/>
        </w:rPr>
        <w:t>响应</w:t>
      </w:r>
      <w:r>
        <w:rPr>
          <w:rFonts w:ascii="宋体" w:hAnsi="宋体" w:eastAsia="宋体" w:cs="黑体"/>
          <w:color w:val="auto"/>
        </w:rPr>
        <w:t>内容和格式</w:t>
      </w:r>
      <w:bookmarkEnd w:id="92"/>
    </w:p>
    <w:p>
      <w:pPr>
        <w:spacing w:line="360" w:lineRule="auto"/>
        <w:rPr>
          <w:color w:val="auto"/>
        </w:rPr>
      </w:pPr>
    </w:p>
    <w:p>
      <w:pPr>
        <w:pStyle w:val="13"/>
        <w:spacing w:line="360" w:lineRule="auto"/>
        <w:ind w:firstLine="1050" w:firstLineChars="500"/>
        <w:rPr>
          <w:rFonts w:hAnsi="宋体"/>
          <w:color w:val="auto"/>
        </w:rPr>
      </w:pPr>
      <w:r>
        <w:rPr>
          <w:rFonts w:hAnsi="宋体"/>
          <w:color w:val="auto"/>
        </w:rPr>
        <mc:AlternateContent>
          <mc:Choice Requires="wps">
            <w:drawing>
              <wp:anchor distT="0" distB="0" distL="0" distR="0" simplePos="0" relativeHeight="251660288" behindDoc="1" locked="0" layoutInCell="1" allowOverlap="1">
                <wp:simplePos x="0" y="0"/>
                <wp:positionH relativeFrom="column">
                  <wp:posOffset>3357245</wp:posOffset>
                </wp:positionH>
                <wp:positionV relativeFrom="paragraph">
                  <wp:posOffset>212725</wp:posOffset>
                </wp:positionV>
                <wp:extent cx="1148080" cy="606425"/>
                <wp:effectExtent l="7620" t="0" r="17780" b="10795"/>
                <wp:wrapNone/>
                <wp:docPr id="1027" name="矩形 3"/>
                <wp:cNvGraphicFramePr/>
                <a:graphic xmlns:a="http://schemas.openxmlformats.org/drawingml/2006/main">
                  <a:graphicData uri="http://schemas.microsoft.com/office/word/2010/wordprocessingShape">
                    <wps:wsp>
                      <wps:cNvSpPr/>
                      <wps:spPr>
                        <a:xfrm>
                          <a:off x="0" y="0"/>
                          <a:ext cx="1148080" cy="606425"/>
                        </a:xfrm>
                        <a:prstGeom prst="rect">
                          <a:avLst/>
                        </a:prstGeom>
                        <a:gradFill flip="none" rotWithShape="0">
                          <a:gsLst>
                            <a:gs pos="0">
                              <a:srgbClr val="FFFFFF"/>
                            </a:gs>
                            <a:gs pos="100000">
                              <a:srgbClr val="FFFFFF"/>
                            </a:gs>
                          </a:gsLst>
                          <a:lin ang="0" scaled="0"/>
                        </a:gradFill>
                        <a:ln w="15875" cap="flat" cmpd="sng">
                          <a:solidFill>
                            <a:srgbClr val="000000"/>
                          </a:solidFill>
                          <a:prstDash val="solid"/>
                          <a:miter/>
                          <a:headEnd type="none" w="med" len="med"/>
                          <a:tailEnd type="none" w="med" len="med"/>
                        </a:ln>
                      </wps:spPr>
                      <wps:txbx>
                        <w:txbxContent>
                          <w:p>
                            <w:pPr>
                              <w:jc w:val="center"/>
                            </w:pPr>
                          </w:p>
                        </w:txbxContent>
                      </wps:txbx>
                      <wps:bodyPr/>
                    </wps:wsp>
                  </a:graphicData>
                </a:graphic>
              </wp:anchor>
            </w:drawing>
          </mc:Choice>
          <mc:Fallback>
            <w:pict>
              <v:rect id="矩形 3" o:spid="_x0000_s1026" o:spt="1" style="position:absolute;left:0pt;margin-left:264.35pt;margin-top:16.75pt;height:47.75pt;width:90.4pt;z-index:-251656192;mso-width-relative:page;mso-height-relative:page;" fillcolor="#FFFFFF" filled="t" stroked="t" coordsize="21600,21600" o:gfxdata="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HVdwjZAAAACgEAAA8AAAAAAAAAAQAgAAAAIgAAAGRycy9k&#10;b3ducmV2LnhtbFBLAQIUABQAAAAIAIdO4kCGu0idOgIAALIEAAAOAAAAAAAAAAEAIAAAACgBAABk&#10;cnMvZTJvRG9jLnhtbFBLBQYAAAAABgAGAFkBAADUBQAAAAA=&#10;">
                <v:fill type="gradient" on="t" color2="#FFFFFF" angle="90" focus="100%" focussize="0,0">
                  <o:fill type="gradientUnscaled" v:ext="backwardCompatible"/>
                </v:fill>
                <v:stroke weight="1.25pt" color="#000000" joinstyle="miter"/>
                <v:imagedata o:title=""/>
                <o:lock v:ext="edit" aspectratio="f"/>
                <v:textbox>
                  <w:txbxContent>
                    <w:p>
                      <w:pPr>
                        <w:jc w:val="center"/>
                      </w:pPr>
                    </w:p>
                  </w:txbxContent>
                </v:textbox>
              </v:rect>
            </w:pict>
          </mc:Fallback>
        </mc:AlternateContent>
      </w:r>
      <w:r>
        <w:rPr>
          <w:rFonts w:hint="eastAsia" w:hAnsi="宋体"/>
          <w:color w:val="auto"/>
        </w:rPr>
        <w:t>（封皮格式）</w:t>
      </w:r>
    </w:p>
    <w:p>
      <w:pPr>
        <w:pStyle w:val="13"/>
        <w:spacing w:line="360" w:lineRule="auto"/>
        <w:rPr>
          <w:rFonts w:hAnsi="宋体"/>
          <w:color w:val="auto"/>
          <w:sz w:val="44"/>
          <w:szCs w:val="44"/>
        </w:rPr>
      </w:pPr>
      <w:r>
        <w:rPr>
          <w:rFonts w:hint="eastAsia" w:hAnsi="宋体"/>
          <w:color w:val="auto"/>
        </w:rPr>
        <w:t xml:space="preserve">                                                    </w:t>
      </w:r>
      <w:r>
        <w:rPr>
          <w:rFonts w:hint="eastAsia" w:hAnsi="宋体"/>
          <w:color w:val="auto"/>
          <w:sz w:val="44"/>
          <w:szCs w:val="44"/>
        </w:rPr>
        <w:t>正/副本</w:t>
      </w:r>
    </w:p>
    <w:p>
      <w:pPr>
        <w:pStyle w:val="13"/>
        <w:spacing w:line="360" w:lineRule="auto"/>
        <w:rPr>
          <w:rFonts w:hAnsi="宋体"/>
          <w:color w:val="auto"/>
        </w:rPr>
      </w:pPr>
    </w:p>
    <w:p>
      <w:pPr>
        <w:pStyle w:val="13"/>
        <w:spacing w:line="360" w:lineRule="auto"/>
        <w:rPr>
          <w:rFonts w:hAnsi="宋体"/>
          <w:color w:val="auto"/>
        </w:rPr>
      </w:pPr>
    </w:p>
    <w:p>
      <w:pPr>
        <w:pStyle w:val="13"/>
        <w:spacing w:line="360" w:lineRule="auto"/>
        <w:jc w:val="center"/>
        <w:rPr>
          <w:rFonts w:hAnsi="宋体"/>
          <w:color w:val="auto"/>
          <w:sz w:val="36"/>
          <w:szCs w:val="36"/>
        </w:rPr>
      </w:pPr>
      <w:r>
        <w:rPr>
          <w:rFonts w:hint="eastAsia" w:hAnsi="宋体"/>
          <w:color w:val="auto"/>
          <w:sz w:val="48"/>
          <w:szCs w:val="48"/>
        </w:rPr>
        <w:t xml:space="preserve"> </w:t>
      </w:r>
      <w:r>
        <w:rPr>
          <w:rFonts w:hint="eastAsia" w:hAnsi="宋体"/>
          <w:color w:val="auto"/>
          <w:sz w:val="48"/>
          <w:szCs w:val="48"/>
          <w:u w:val="single"/>
        </w:rPr>
        <w:t xml:space="preserve">                </w:t>
      </w:r>
      <w:r>
        <w:rPr>
          <w:rFonts w:hint="eastAsia" w:hAnsi="宋体"/>
          <w:color w:val="auto"/>
          <w:sz w:val="48"/>
          <w:szCs w:val="48"/>
        </w:rPr>
        <w:t>（项目名称）</w:t>
      </w:r>
    </w:p>
    <w:p>
      <w:pPr>
        <w:pStyle w:val="13"/>
        <w:spacing w:line="360" w:lineRule="auto"/>
        <w:rPr>
          <w:rFonts w:hAnsi="宋体"/>
          <w:color w:val="auto"/>
          <w:sz w:val="36"/>
          <w:szCs w:val="36"/>
        </w:rPr>
      </w:pPr>
      <w:r>
        <w:rPr>
          <w:rFonts w:hint="eastAsia" w:hAnsi="宋体"/>
          <w:color w:val="auto"/>
          <w:sz w:val="36"/>
          <w:szCs w:val="36"/>
        </w:rPr>
        <w:t xml:space="preserve">         项目编号：</w:t>
      </w:r>
    </w:p>
    <w:p>
      <w:pPr>
        <w:pStyle w:val="13"/>
        <w:spacing w:line="360" w:lineRule="auto"/>
        <w:jc w:val="center"/>
        <w:rPr>
          <w:rFonts w:hAnsi="宋体"/>
          <w:color w:val="auto"/>
          <w:sz w:val="36"/>
          <w:szCs w:val="36"/>
        </w:rPr>
      </w:pPr>
    </w:p>
    <w:p>
      <w:pPr>
        <w:pStyle w:val="13"/>
        <w:spacing w:line="360" w:lineRule="auto"/>
        <w:rPr>
          <w:rFonts w:hAnsi="宋体"/>
          <w:color w:val="auto"/>
          <w:u w:val="single"/>
        </w:rPr>
      </w:pPr>
    </w:p>
    <w:p>
      <w:pPr>
        <w:pStyle w:val="13"/>
        <w:spacing w:line="360" w:lineRule="auto"/>
        <w:rPr>
          <w:rFonts w:hAnsi="宋体"/>
          <w:color w:val="auto"/>
          <w:u w:val="single"/>
        </w:rPr>
      </w:pPr>
    </w:p>
    <w:p>
      <w:pPr>
        <w:pStyle w:val="13"/>
        <w:spacing w:line="360" w:lineRule="auto"/>
        <w:rPr>
          <w:rFonts w:hAnsi="宋体"/>
          <w:color w:val="auto"/>
          <w:u w:val="single"/>
        </w:rPr>
      </w:pPr>
    </w:p>
    <w:p>
      <w:pPr>
        <w:pStyle w:val="13"/>
        <w:spacing w:line="360" w:lineRule="auto"/>
        <w:rPr>
          <w:rFonts w:hAnsi="宋体"/>
          <w:color w:val="auto"/>
          <w:u w:val="single"/>
        </w:rPr>
      </w:pPr>
    </w:p>
    <w:p>
      <w:pPr>
        <w:pStyle w:val="13"/>
        <w:spacing w:line="360" w:lineRule="auto"/>
        <w:jc w:val="center"/>
        <w:rPr>
          <w:rFonts w:hAnsi="宋体"/>
          <w:color w:val="auto"/>
          <w:sz w:val="72"/>
          <w:szCs w:val="72"/>
        </w:rPr>
      </w:pPr>
      <w:r>
        <w:rPr>
          <w:rFonts w:hint="eastAsia" w:hAnsi="宋体"/>
          <w:color w:val="auto"/>
          <w:sz w:val="72"/>
          <w:szCs w:val="72"/>
        </w:rPr>
        <w:t>响应文件</w:t>
      </w:r>
    </w:p>
    <w:p>
      <w:pPr>
        <w:pStyle w:val="13"/>
        <w:spacing w:line="360" w:lineRule="auto"/>
        <w:rPr>
          <w:rFonts w:hAnsi="宋体"/>
          <w:color w:val="auto"/>
          <w:u w:val="single"/>
        </w:rPr>
      </w:pPr>
    </w:p>
    <w:p>
      <w:pPr>
        <w:pStyle w:val="13"/>
        <w:spacing w:line="360" w:lineRule="auto"/>
        <w:rPr>
          <w:rFonts w:hAnsi="宋体"/>
          <w:color w:val="auto"/>
          <w:u w:val="single"/>
        </w:rPr>
      </w:pPr>
    </w:p>
    <w:p>
      <w:pPr>
        <w:pStyle w:val="13"/>
        <w:spacing w:line="360" w:lineRule="auto"/>
        <w:rPr>
          <w:rFonts w:hAnsi="宋体"/>
          <w:color w:val="auto"/>
          <w:u w:val="single"/>
        </w:rPr>
      </w:pPr>
    </w:p>
    <w:p>
      <w:pPr>
        <w:pStyle w:val="13"/>
        <w:spacing w:line="360" w:lineRule="auto"/>
        <w:rPr>
          <w:rFonts w:hAnsi="宋体"/>
          <w:color w:val="auto"/>
          <w:u w:val="single"/>
        </w:rPr>
      </w:pPr>
    </w:p>
    <w:p>
      <w:pPr>
        <w:spacing w:line="360" w:lineRule="auto"/>
        <w:ind w:firstLine="480" w:firstLineChars="200"/>
        <w:rPr>
          <w:rFonts w:ascii="宋体" w:hAnsi="宋体"/>
          <w:color w:val="auto"/>
          <w:sz w:val="24"/>
        </w:rPr>
      </w:pPr>
      <w:r>
        <w:rPr>
          <w:rFonts w:hint="eastAsia" w:ascii="宋体" w:hAnsi="宋体"/>
          <w:color w:val="auto"/>
          <w:sz w:val="24"/>
        </w:rPr>
        <w:t>供应商（盖章）：_______________________</w:t>
      </w:r>
    </w:p>
    <w:p>
      <w:pPr>
        <w:spacing w:line="360" w:lineRule="auto"/>
        <w:ind w:firstLine="480" w:firstLineChars="200"/>
        <w:rPr>
          <w:rFonts w:ascii="宋体" w:hAnsi="宋体"/>
          <w:color w:val="auto"/>
          <w:sz w:val="24"/>
        </w:rPr>
      </w:pPr>
      <w:r>
        <w:rPr>
          <w:rFonts w:hint="eastAsia" w:ascii="宋体" w:hAnsi="宋体"/>
          <w:color w:val="auto"/>
          <w:sz w:val="24"/>
        </w:rPr>
        <w:t>法定代表人或</w:t>
      </w:r>
      <w:r>
        <w:rPr>
          <w:rFonts w:hint="eastAsia" w:ascii="宋体" w:hAnsi="宋体"/>
          <w:color w:val="auto"/>
          <w:sz w:val="24"/>
          <w:lang w:eastAsia="zh-CN"/>
        </w:rPr>
        <w:t>被</w:t>
      </w:r>
      <w:r>
        <w:rPr>
          <w:rFonts w:hint="eastAsia" w:ascii="宋体" w:hAnsi="宋体"/>
          <w:color w:val="auto"/>
          <w:sz w:val="24"/>
        </w:rPr>
        <w:t>授权</w:t>
      </w:r>
      <w:r>
        <w:rPr>
          <w:rFonts w:hint="eastAsia" w:ascii="宋体" w:hAnsi="宋体"/>
          <w:color w:val="auto"/>
          <w:sz w:val="24"/>
          <w:lang w:eastAsia="zh-CN"/>
        </w:rPr>
        <w:t>代表（</w:t>
      </w:r>
      <w:r>
        <w:rPr>
          <w:rFonts w:hint="eastAsia" w:ascii="宋体" w:hAnsi="宋体"/>
          <w:color w:val="auto"/>
          <w:sz w:val="24"/>
        </w:rPr>
        <w:t>签字</w:t>
      </w:r>
      <w:r>
        <w:rPr>
          <w:rFonts w:hint="eastAsia" w:ascii="宋体" w:hAnsi="宋体"/>
          <w:color w:val="auto"/>
          <w:sz w:val="24"/>
          <w:lang w:eastAsia="zh-CN"/>
        </w:rPr>
        <w:t>或盖章</w:t>
      </w:r>
      <w:r>
        <w:rPr>
          <w:rFonts w:hint="eastAsia" w:ascii="宋体" w:hAnsi="宋体"/>
          <w:color w:val="auto"/>
          <w:sz w:val="24"/>
        </w:rPr>
        <w:t>）：_______________________</w:t>
      </w:r>
    </w:p>
    <w:p>
      <w:pPr>
        <w:snapToGrid w:val="0"/>
        <w:spacing w:line="360" w:lineRule="auto"/>
        <w:ind w:firstLine="540" w:firstLineChars="225"/>
        <w:outlineLvl w:val="0"/>
        <w:rPr>
          <w:b/>
          <w:color w:val="auto"/>
          <w:sz w:val="44"/>
          <w:szCs w:val="44"/>
        </w:rPr>
      </w:pPr>
      <w:r>
        <w:rPr>
          <w:rFonts w:hint="eastAsia" w:ascii="宋体" w:hAnsi="宋体"/>
          <w:color w:val="auto"/>
          <w:sz w:val="24"/>
        </w:rPr>
        <w:t xml:space="preserve">日期：_______________________      </w:t>
      </w:r>
    </w:p>
    <w:p>
      <w:pPr>
        <w:spacing w:line="360" w:lineRule="auto"/>
        <w:rPr>
          <w:color w:val="auto"/>
        </w:rPr>
      </w:pPr>
    </w:p>
    <w:p>
      <w:pPr>
        <w:rPr>
          <w:color w:val="auto"/>
        </w:rPr>
      </w:pPr>
    </w:p>
    <w:p>
      <w:pPr>
        <w:pStyle w:val="7"/>
        <w:rPr>
          <w:color w:val="auto"/>
        </w:rPr>
      </w:pPr>
    </w:p>
    <w:p/>
    <w:p>
      <w:pPr>
        <w:numPr>
          <w:ilvl w:val="0"/>
          <w:numId w:val="6"/>
        </w:numPr>
        <w:spacing w:line="360" w:lineRule="auto"/>
        <w:ind w:firstLine="480" w:firstLineChars="200"/>
        <w:rPr>
          <w:rFonts w:ascii="宋体" w:hAnsi="宋体"/>
          <w:color w:val="auto"/>
          <w:sz w:val="24"/>
          <w:szCs w:val="24"/>
        </w:rPr>
      </w:pPr>
      <w:r>
        <w:rPr>
          <w:rFonts w:hint="eastAsia" w:ascii="宋体" w:hAnsi="宋体"/>
          <w:color w:val="auto"/>
          <w:sz w:val="24"/>
          <w:szCs w:val="24"/>
        </w:rPr>
        <w:t>开标一览表；</w:t>
      </w:r>
    </w:p>
    <w:p>
      <w:pPr>
        <w:numPr>
          <w:ilvl w:val="0"/>
          <w:numId w:val="6"/>
        </w:numPr>
        <w:spacing w:line="360" w:lineRule="auto"/>
        <w:ind w:firstLine="480" w:firstLineChars="200"/>
        <w:rPr>
          <w:rFonts w:ascii="宋体" w:hAnsi="宋体"/>
          <w:color w:val="auto"/>
          <w:sz w:val="24"/>
          <w:szCs w:val="24"/>
        </w:rPr>
      </w:pPr>
      <w:r>
        <w:rPr>
          <w:rFonts w:hint="eastAsia" w:ascii="宋体" w:hAnsi="宋体"/>
          <w:color w:val="auto"/>
          <w:sz w:val="24"/>
          <w:szCs w:val="24"/>
        </w:rPr>
        <w:t>响应函；</w:t>
      </w:r>
    </w:p>
    <w:p>
      <w:pPr>
        <w:numPr>
          <w:ilvl w:val="0"/>
          <w:numId w:val="6"/>
        </w:numPr>
        <w:spacing w:line="360" w:lineRule="auto"/>
        <w:ind w:firstLine="480" w:firstLineChars="200"/>
        <w:rPr>
          <w:rFonts w:ascii="宋体" w:hAnsi="宋体"/>
          <w:color w:val="auto"/>
          <w:sz w:val="24"/>
          <w:szCs w:val="24"/>
        </w:rPr>
      </w:pPr>
      <w:r>
        <w:rPr>
          <w:rFonts w:hint="eastAsia" w:ascii="宋体" w:hAnsi="宋体"/>
          <w:color w:val="auto"/>
          <w:sz w:val="24"/>
          <w:szCs w:val="24"/>
        </w:rPr>
        <w:t>报价明细表（自拟）；</w:t>
      </w:r>
    </w:p>
    <w:p>
      <w:pPr>
        <w:numPr>
          <w:ilvl w:val="0"/>
          <w:numId w:val="6"/>
        </w:numPr>
        <w:spacing w:line="360" w:lineRule="auto"/>
        <w:ind w:firstLine="480" w:firstLineChars="200"/>
        <w:rPr>
          <w:color w:val="auto"/>
        </w:rPr>
      </w:pPr>
      <w:r>
        <w:rPr>
          <w:rFonts w:hint="eastAsia" w:ascii="宋体" w:hAnsi="宋体"/>
          <w:color w:val="auto"/>
          <w:sz w:val="24"/>
          <w:szCs w:val="24"/>
        </w:rPr>
        <w:t>法定代表人身份证明书；</w:t>
      </w:r>
    </w:p>
    <w:p>
      <w:pPr>
        <w:spacing w:line="360" w:lineRule="auto"/>
        <w:ind w:left="420" w:leftChars="200"/>
        <w:rPr>
          <w:color w:val="auto"/>
        </w:rPr>
      </w:pPr>
      <w:r>
        <w:rPr>
          <w:rFonts w:hint="eastAsia" w:ascii="宋体" w:hAnsi="宋体"/>
          <w:color w:val="auto"/>
          <w:sz w:val="24"/>
          <w:szCs w:val="24"/>
        </w:rPr>
        <w:t>5、授权委托书</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6、供应商资格证明文件；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7、用户需求响应表；</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8、政府采购活动信用记录自查承诺函</w:t>
      </w:r>
    </w:p>
    <w:p>
      <w:pPr>
        <w:spacing w:line="360" w:lineRule="auto"/>
        <w:ind w:firstLine="480" w:firstLineChars="200"/>
        <w:rPr>
          <w:rFonts w:ascii="宋体" w:hAnsi="宋体"/>
          <w:color w:val="auto"/>
          <w:sz w:val="24"/>
          <w:szCs w:val="24"/>
        </w:rPr>
      </w:pPr>
      <w:r>
        <w:rPr>
          <w:rFonts w:hint="eastAsia" w:ascii="宋体" w:hAnsi="宋体"/>
          <w:color w:val="auto"/>
          <w:sz w:val="24"/>
          <w:szCs w:val="24"/>
        </w:rPr>
        <w:t>9、中小企业声明函</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10、中小企业（监狱企业）声明函</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11、残疾人福利性单位声明函</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12、其他材料。</w:t>
      </w:r>
    </w:p>
    <w:p>
      <w:pPr>
        <w:spacing w:line="360" w:lineRule="auto"/>
        <w:jc w:val="center"/>
        <w:outlineLvl w:val="0"/>
        <w:rPr>
          <w:rFonts w:ascii="宋体" w:hAnsi="宋体"/>
          <w:b/>
          <w:color w:val="auto"/>
          <w:sz w:val="44"/>
          <w:szCs w:val="44"/>
        </w:rPr>
      </w:pPr>
    </w:p>
    <w:p>
      <w:pPr>
        <w:spacing w:line="360" w:lineRule="auto"/>
        <w:jc w:val="center"/>
        <w:outlineLvl w:val="0"/>
        <w:rPr>
          <w:rFonts w:ascii="宋体" w:hAnsi="宋体"/>
          <w:b/>
          <w:color w:val="auto"/>
          <w:sz w:val="44"/>
          <w:szCs w:val="44"/>
        </w:rPr>
      </w:pPr>
    </w:p>
    <w:p>
      <w:pPr>
        <w:spacing w:line="360" w:lineRule="auto"/>
        <w:jc w:val="center"/>
        <w:outlineLvl w:val="0"/>
        <w:rPr>
          <w:rFonts w:ascii="宋体" w:hAnsi="宋体"/>
          <w:b/>
          <w:color w:val="auto"/>
          <w:sz w:val="44"/>
          <w:szCs w:val="44"/>
        </w:rPr>
      </w:pPr>
    </w:p>
    <w:p>
      <w:pPr>
        <w:spacing w:line="360" w:lineRule="auto"/>
        <w:jc w:val="center"/>
        <w:outlineLvl w:val="0"/>
        <w:rPr>
          <w:rFonts w:ascii="宋体" w:hAnsi="宋体"/>
          <w:b/>
          <w:color w:val="auto"/>
          <w:sz w:val="44"/>
          <w:szCs w:val="44"/>
        </w:rPr>
      </w:pPr>
    </w:p>
    <w:p>
      <w:pPr>
        <w:spacing w:line="360" w:lineRule="auto"/>
        <w:jc w:val="center"/>
        <w:outlineLvl w:val="0"/>
        <w:rPr>
          <w:rFonts w:ascii="宋体" w:hAnsi="宋体"/>
          <w:b/>
          <w:color w:val="auto"/>
          <w:sz w:val="44"/>
          <w:szCs w:val="44"/>
        </w:rPr>
      </w:pPr>
    </w:p>
    <w:p>
      <w:pPr>
        <w:spacing w:line="360" w:lineRule="auto"/>
        <w:jc w:val="center"/>
        <w:outlineLvl w:val="0"/>
        <w:rPr>
          <w:rFonts w:ascii="宋体" w:hAnsi="宋体"/>
          <w:b/>
          <w:color w:val="auto"/>
          <w:sz w:val="44"/>
          <w:szCs w:val="44"/>
        </w:rPr>
      </w:pPr>
    </w:p>
    <w:p>
      <w:pPr>
        <w:spacing w:line="360" w:lineRule="auto"/>
        <w:jc w:val="center"/>
        <w:outlineLvl w:val="0"/>
        <w:rPr>
          <w:rFonts w:ascii="宋体" w:hAnsi="宋体"/>
          <w:b/>
          <w:color w:val="auto"/>
          <w:sz w:val="44"/>
          <w:szCs w:val="44"/>
        </w:rPr>
      </w:pPr>
    </w:p>
    <w:p>
      <w:pPr>
        <w:spacing w:line="360" w:lineRule="auto"/>
        <w:jc w:val="center"/>
        <w:outlineLvl w:val="0"/>
        <w:rPr>
          <w:rFonts w:ascii="宋体" w:hAnsi="宋体"/>
          <w:b/>
          <w:color w:val="auto"/>
          <w:sz w:val="44"/>
          <w:szCs w:val="44"/>
        </w:rPr>
      </w:pPr>
    </w:p>
    <w:p>
      <w:pPr>
        <w:spacing w:line="360" w:lineRule="auto"/>
        <w:jc w:val="center"/>
        <w:outlineLvl w:val="0"/>
        <w:rPr>
          <w:rFonts w:ascii="宋体" w:hAnsi="宋体"/>
          <w:b/>
          <w:color w:val="auto"/>
          <w:sz w:val="44"/>
          <w:szCs w:val="44"/>
        </w:rPr>
      </w:pPr>
    </w:p>
    <w:p>
      <w:pPr>
        <w:spacing w:line="360" w:lineRule="auto"/>
        <w:jc w:val="center"/>
        <w:outlineLvl w:val="0"/>
        <w:rPr>
          <w:rFonts w:ascii="宋体" w:hAnsi="宋体"/>
          <w:b/>
          <w:color w:val="auto"/>
          <w:sz w:val="44"/>
          <w:szCs w:val="44"/>
        </w:rPr>
      </w:pPr>
    </w:p>
    <w:p>
      <w:pPr>
        <w:spacing w:line="360" w:lineRule="auto"/>
        <w:jc w:val="both"/>
        <w:rPr>
          <w:rFonts w:hint="eastAsia" w:ascii="宋体" w:hAnsi="宋体"/>
          <w:b/>
          <w:color w:val="auto"/>
          <w:sz w:val="32"/>
          <w:szCs w:val="22"/>
        </w:rPr>
      </w:pPr>
    </w:p>
    <w:p>
      <w:pPr>
        <w:spacing w:line="360" w:lineRule="auto"/>
        <w:jc w:val="center"/>
        <w:rPr>
          <w:rFonts w:hint="eastAsia" w:ascii="宋体" w:hAnsi="宋体"/>
          <w:b/>
          <w:color w:val="auto"/>
          <w:sz w:val="32"/>
          <w:szCs w:val="22"/>
        </w:rPr>
      </w:pPr>
    </w:p>
    <w:p>
      <w:pPr>
        <w:spacing w:line="360" w:lineRule="auto"/>
        <w:jc w:val="center"/>
        <w:rPr>
          <w:rFonts w:hint="eastAsia" w:ascii="宋体" w:hAnsi="宋体"/>
          <w:b/>
          <w:color w:val="auto"/>
          <w:sz w:val="32"/>
          <w:szCs w:val="22"/>
        </w:rPr>
      </w:pPr>
    </w:p>
    <w:p>
      <w:pPr>
        <w:spacing w:line="360" w:lineRule="auto"/>
        <w:jc w:val="center"/>
        <w:rPr>
          <w:rFonts w:hint="eastAsia" w:ascii="宋体" w:hAnsi="宋体"/>
          <w:b/>
          <w:color w:val="auto"/>
          <w:sz w:val="32"/>
          <w:szCs w:val="22"/>
        </w:rPr>
      </w:pPr>
      <w:r>
        <w:rPr>
          <w:rFonts w:hint="eastAsia" w:ascii="宋体" w:hAnsi="宋体"/>
          <w:b/>
          <w:color w:val="auto"/>
          <w:sz w:val="32"/>
          <w:szCs w:val="22"/>
        </w:rPr>
        <w:t>1、开标一览表</w:t>
      </w:r>
    </w:p>
    <w:p>
      <w:pPr>
        <w:pStyle w:val="8"/>
        <w:spacing w:line="360" w:lineRule="auto"/>
        <w:ind w:firstLine="0"/>
        <w:rPr>
          <w:rFonts w:hint="eastAsia" w:ascii="宋体" w:hAnsi="宋体" w:eastAsia="宋体"/>
          <w:bCs/>
          <w:color w:val="auto"/>
          <w:sz w:val="24"/>
          <w:szCs w:val="24"/>
          <w:lang w:eastAsia="zh-CN"/>
        </w:rPr>
      </w:pPr>
      <w:r>
        <w:rPr>
          <w:rFonts w:hint="eastAsia" w:ascii="宋体" w:hAnsi="宋体"/>
          <w:bCs/>
          <w:color w:val="auto"/>
          <w:sz w:val="24"/>
          <w:szCs w:val="24"/>
        </w:rPr>
        <w:t>项目名称：</w:t>
      </w:r>
      <w:r>
        <w:rPr>
          <w:rFonts w:hint="eastAsia" w:ascii="宋体" w:hAnsi="宋体"/>
          <w:bCs/>
          <w:color w:val="auto"/>
          <w:sz w:val="24"/>
          <w:szCs w:val="24"/>
          <w:lang w:eastAsia="zh-CN"/>
        </w:rPr>
        <w:t>白沙黎族自治县公安局特种技术用车采购项目</w:t>
      </w:r>
    </w:p>
    <w:p>
      <w:pPr>
        <w:spacing w:line="360" w:lineRule="auto"/>
        <w:rPr>
          <w:rFonts w:hint="eastAsia" w:ascii="宋体" w:hAnsi="宋体" w:eastAsia="宋体"/>
          <w:color w:val="auto"/>
          <w:sz w:val="24"/>
          <w:lang w:eastAsia="zh-CN"/>
        </w:rPr>
      </w:pPr>
      <w:r>
        <w:rPr>
          <w:rFonts w:hint="eastAsia" w:ascii="宋体" w:hAnsi="宋体"/>
          <w:color w:val="auto"/>
          <w:sz w:val="24"/>
        </w:rPr>
        <w:t>项目编号：</w:t>
      </w:r>
      <w:r>
        <w:rPr>
          <w:rFonts w:hint="eastAsia" w:ascii="宋体" w:hAnsi="宋体"/>
          <w:color w:val="auto"/>
          <w:sz w:val="24"/>
          <w:lang w:eastAsia="zh-CN"/>
        </w:rPr>
        <w:t>HNZC2023-ZB-055</w:t>
      </w:r>
    </w:p>
    <w:p>
      <w:pPr>
        <w:spacing w:line="360" w:lineRule="auto"/>
        <w:jc w:val="right"/>
        <w:rPr>
          <w:rFonts w:ascii="宋体" w:hAnsi="宋体" w:cs="宋体"/>
          <w:bCs/>
          <w:color w:val="auto"/>
          <w:sz w:val="24"/>
        </w:rPr>
      </w:pPr>
      <w:r>
        <w:rPr>
          <w:rFonts w:hint="eastAsia" w:ascii="宋体" w:hAnsi="宋体"/>
          <w:color w:val="auto"/>
          <w:sz w:val="24"/>
        </w:rPr>
        <w:t>金额单位：元</w:t>
      </w:r>
      <w:r>
        <w:rPr>
          <w:rFonts w:hint="eastAsia" w:ascii="宋体" w:hAnsi="宋体" w:cs="宋体"/>
          <w:bCs/>
          <w:color w:val="auto"/>
          <w:sz w:val="24"/>
        </w:rPr>
        <w:t xml:space="preserve">                       </w:t>
      </w:r>
    </w:p>
    <w:tbl>
      <w:tblPr>
        <w:tblStyle w:val="24"/>
        <w:tblW w:w="8882" w:type="dxa"/>
        <w:jc w:val="center"/>
        <w:tblLayout w:type="fixed"/>
        <w:tblCellMar>
          <w:top w:w="0" w:type="dxa"/>
          <w:left w:w="30" w:type="dxa"/>
          <w:bottom w:w="0" w:type="dxa"/>
          <w:right w:w="30" w:type="dxa"/>
        </w:tblCellMar>
      </w:tblPr>
      <w:tblGrid>
        <w:gridCol w:w="2331"/>
        <w:gridCol w:w="6551"/>
      </w:tblGrid>
      <w:tr>
        <w:tblPrEx>
          <w:tblCellMar>
            <w:top w:w="0" w:type="dxa"/>
            <w:left w:w="30" w:type="dxa"/>
            <w:bottom w:w="0" w:type="dxa"/>
            <w:right w:w="30" w:type="dxa"/>
          </w:tblCellMar>
        </w:tblPrEx>
        <w:trPr>
          <w:cantSplit/>
          <w:trHeight w:val="807" w:hRule="exact"/>
          <w:jc w:val="center"/>
        </w:trPr>
        <w:tc>
          <w:tcPr>
            <w:tcW w:w="2331" w:type="dxa"/>
            <w:vMerge w:val="restart"/>
            <w:tcBorders>
              <w:top w:val="single" w:color="auto" w:sz="6" w:space="0"/>
              <w:left w:val="single" w:color="auto" w:sz="6" w:space="0"/>
              <w:right w:val="single" w:color="auto" w:sz="6" w:space="0"/>
            </w:tcBorders>
            <w:vAlign w:val="center"/>
          </w:tcPr>
          <w:p>
            <w:pPr>
              <w:spacing w:line="360" w:lineRule="auto"/>
              <w:rPr>
                <w:rFonts w:ascii="宋体" w:hAnsi="宋体" w:cs="宋体"/>
                <w:bCs/>
                <w:color w:val="auto"/>
                <w:sz w:val="24"/>
                <w:szCs w:val="22"/>
              </w:rPr>
            </w:pPr>
            <w:r>
              <w:rPr>
                <w:rFonts w:hint="eastAsia" w:ascii="宋体" w:hAnsi="宋体" w:cs="宋体"/>
                <w:bCs/>
                <w:color w:val="auto"/>
                <w:sz w:val="24"/>
                <w:szCs w:val="22"/>
              </w:rPr>
              <w:t>本项目投标总报价</w:t>
            </w:r>
          </w:p>
          <w:p>
            <w:pPr>
              <w:spacing w:line="360" w:lineRule="auto"/>
              <w:rPr>
                <w:rFonts w:ascii="宋体" w:hAnsi="宋体" w:cs="宋体"/>
                <w:bCs/>
                <w:color w:val="auto"/>
                <w:sz w:val="24"/>
                <w:szCs w:val="22"/>
              </w:rPr>
            </w:pPr>
            <w:r>
              <w:rPr>
                <w:rFonts w:hint="eastAsia" w:ascii="宋体" w:hAnsi="宋体" w:cs="宋体"/>
                <w:bCs/>
                <w:color w:val="auto"/>
                <w:sz w:val="24"/>
                <w:szCs w:val="22"/>
              </w:rPr>
              <w:t>（大小写一致）</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bCs/>
                <w:color w:val="auto"/>
                <w:sz w:val="24"/>
                <w:szCs w:val="22"/>
              </w:rPr>
            </w:pPr>
            <w:r>
              <w:rPr>
                <w:rFonts w:hint="eastAsia" w:ascii="宋体" w:hAnsi="宋体" w:cs="宋体"/>
                <w:bCs/>
                <w:color w:val="auto"/>
                <w:sz w:val="24"/>
                <w:szCs w:val="22"/>
              </w:rPr>
              <w:t>（小写）：</w:t>
            </w:r>
          </w:p>
        </w:tc>
      </w:tr>
      <w:tr>
        <w:tblPrEx>
          <w:tblCellMar>
            <w:top w:w="0" w:type="dxa"/>
            <w:left w:w="30" w:type="dxa"/>
            <w:bottom w:w="0" w:type="dxa"/>
            <w:right w:w="30" w:type="dxa"/>
          </w:tblCellMar>
        </w:tblPrEx>
        <w:trPr>
          <w:cantSplit/>
          <w:trHeight w:val="655" w:hRule="exact"/>
          <w:jc w:val="center"/>
        </w:trPr>
        <w:tc>
          <w:tcPr>
            <w:tcW w:w="2331" w:type="dxa"/>
            <w:vMerge w:val="continue"/>
            <w:tcBorders>
              <w:left w:val="single" w:color="auto" w:sz="6" w:space="0"/>
              <w:bottom w:val="single" w:color="auto" w:sz="4" w:space="0"/>
              <w:right w:val="single" w:color="auto" w:sz="6" w:space="0"/>
            </w:tcBorders>
            <w:vAlign w:val="center"/>
          </w:tcPr>
          <w:p>
            <w:pPr>
              <w:spacing w:line="360" w:lineRule="auto"/>
              <w:rPr>
                <w:rFonts w:ascii="宋体" w:hAnsi="宋体" w:cs="宋体"/>
                <w:bCs/>
                <w:color w:val="auto"/>
                <w:sz w:val="24"/>
                <w:szCs w:val="22"/>
              </w:rPr>
            </w:pP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bCs/>
                <w:color w:val="auto"/>
                <w:sz w:val="24"/>
                <w:szCs w:val="22"/>
              </w:rPr>
            </w:pPr>
            <w:r>
              <w:rPr>
                <w:rFonts w:hint="eastAsia" w:ascii="宋体" w:hAnsi="宋体" w:cs="宋体"/>
                <w:bCs/>
                <w:color w:val="auto"/>
                <w:sz w:val="24"/>
                <w:szCs w:val="22"/>
              </w:rPr>
              <w:t>（大写）：</w:t>
            </w:r>
          </w:p>
        </w:tc>
      </w:tr>
      <w:tr>
        <w:tblPrEx>
          <w:tblCellMar>
            <w:top w:w="0" w:type="dxa"/>
            <w:left w:w="30" w:type="dxa"/>
            <w:bottom w:w="0" w:type="dxa"/>
            <w:right w:w="30" w:type="dxa"/>
          </w:tblCellMar>
        </w:tblPrEx>
        <w:trPr>
          <w:cantSplit/>
          <w:trHeight w:val="838"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spacing w:line="360" w:lineRule="auto"/>
              <w:rPr>
                <w:rFonts w:hint="eastAsia" w:ascii="宋体" w:hAnsi="宋体" w:eastAsia="宋体" w:cs="宋体"/>
                <w:bCs/>
                <w:color w:val="auto"/>
                <w:sz w:val="24"/>
                <w:szCs w:val="22"/>
                <w:lang w:eastAsia="zh-CN"/>
              </w:rPr>
            </w:pPr>
            <w:r>
              <w:rPr>
                <w:rFonts w:hint="eastAsia" w:ascii="宋体" w:hAnsi="宋体" w:cs="宋体"/>
                <w:bCs/>
                <w:color w:val="auto"/>
                <w:sz w:val="24"/>
                <w:szCs w:val="22"/>
                <w:lang w:eastAsia="zh-CN"/>
              </w:rPr>
              <w:t>交货期</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bCs/>
                <w:color w:val="auto"/>
                <w:sz w:val="24"/>
                <w:szCs w:val="22"/>
              </w:rPr>
            </w:pPr>
          </w:p>
        </w:tc>
      </w:tr>
      <w:tr>
        <w:tblPrEx>
          <w:tblCellMar>
            <w:top w:w="0" w:type="dxa"/>
            <w:left w:w="30" w:type="dxa"/>
            <w:bottom w:w="0" w:type="dxa"/>
            <w:right w:w="30" w:type="dxa"/>
          </w:tblCellMar>
        </w:tblPrEx>
        <w:trPr>
          <w:cantSplit/>
          <w:trHeight w:val="805"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spacing w:line="360" w:lineRule="auto"/>
              <w:rPr>
                <w:rFonts w:ascii="宋体" w:hAnsi="宋体" w:cs="宋体"/>
                <w:bCs/>
                <w:color w:val="auto"/>
                <w:sz w:val="24"/>
                <w:szCs w:val="22"/>
              </w:rPr>
            </w:pPr>
            <w:r>
              <w:rPr>
                <w:rFonts w:hint="eastAsia" w:ascii="宋体" w:hAnsi="宋体" w:cs="宋体"/>
                <w:bCs/>
                <w:color w:val="auto"/>
                <w:sz w:val="24"/>
                <w:szCs w:val="22"/>
                <w:lang w:eastAsia="zh-CN"/>
              </w:rPr>
              <w:t>交货</w:t>
            </w:r>
            <w:r>
              <w:rPr>
                <w:rFonts w:hint="eastAsia" w:ascii="宋体" w:hAnsi="宋体" w:cs="宋体"/>
                <w:bCs/>
                <w:color w:val="auto"/>
                <w:sz w:val="24"/>
                <w:szCs w:val="22"/>
              </w:rPr>
              <w:t>地点</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bCs/>
                <w:color w:val="auto"/>
                <w:sz w:val="24"/>
                <w:szCs w:val="22"/>
              </w:rPr>
            </w:pPr>
            <w:r>
              <w:rPr>
                <w:rFonts w:hint="eastAsia" w:ascii="宋体" w:hAnsi="宋体" w:cs="宋体"/>
                <w:bCs/>
                <w:color w:val="auto"/>
                <w:sz w:val="24"/>
                <w:szCs w:val="22"/>
              </w:rPr>
              <w:t>采购人指定</w:t>
            </w:r>
          </w:p>
        </w:tc>
      </w:tr>
      <w:tr>
        <w:tblPrEx>
          <w:tblCellMar>
            <w:top w:w="0" w:type="dxa"/>
            <w:left w:w="30" w:type="dxa"/>
            <w:bottom w:w="0" w:type="dxa"/>
            <w:right w:w="30" w:type="dxa"/>
          </w:tblCellMar>
        </w:tblPrEx>
        <w:trPr>
          <w:cantSplit/>
          <w:trHeight w:val="565"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ascii="宋体" w:hAnsi="宋体" w:cs="Arial"/>
                <w:b/>
                <w:color w:val="auto"/>
                <w:sz w:val="24"/>
                <w:szCs w:val="21"/>
              </w:rPr>
            </w:pPr>
            <w:r>
              <w:rPr>
                <w:rFonts w:hint="eastAsia" w:ascii="宋体" w:hAnsi="宋体" w:cs="宋体"/>
                <w:bCs/>
                <w:color w:val="auto"/>
                <w:sz w:val="24"/>
              </w:rPr>
              <w:t>是否小微型企业产品：是（   ）；否（   ）</w:t>
            </w:r>
          </w:p>
        </w:tc>
      </w:tr>
      <w:tr>
        <w:tblPrEx>
          <w:tblCellMar>
            <w:top w:w="0" w:type="dxa"/>
            <w:left w:w="30" w:type="dxa"/>
            <w:bottom w:w="0" w:type="dxa"/>
            <w:right w:w="30" w:type="dxa"/>
          </w:tblCellMar>
        </w:tblPrEx>
        <w:trPr>
          <w:cantSplit/>
          <w:trHeight w:val="508"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ascii="宋体" w:hAnsi="宋体" w:cs="Arial"/>
                <w:b/>
                <w:color w:val="auto"/>
                <w:sz w:val="24"/>
                <w:szCs w:val="21"/>
              </w:rPr>
            </w:pPr>
            <w:r>
              <w:rPr>
                <w:rFonts w:hint="eastAsia" w:ascii="宋体" w:hAnsi="宋体" w:cs="宋体"/>
                <w:bCs/>
                <w:color w:val="auto"/>
                <w:sz w:val="24"/>
              </w:rPr>
              <w:t>是否监狱企业参加采购活动：是（   ）；否（   ）</w:t>
            </w:r>
          </w:p>
        </w:tc>
      </w:tr>
      <w:tr>
        <w:tblPrEx>
          <w:tblCellMar>
            <w:top w:w="0" w:type="dxa"/>
            <w:left w:w="30" w:type="dxa"/>
            <w:bottom w:w="0" w:type="dxa"/>
            <w:right w:w="30" w:type="dxa"/>
          </w:tblCellMar>
        </w:tblPrEx>
        <w:trPr>
          <w:cantSplit/>
          <w:trHeight w:val="738"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ascii="宋体" w:hAnsi="宋体" w:cs="Arial"/>
                <w:b/>
                <w:color w:val="auto"/>
                <w:sz w:val="24"/>
                <w:szCs w:val="21"/>
              </w:rPr>
            </w:pPr>
            <w:r>
              <w:rPr>
                <w:rFonts w:hint="eastAsia" w:ascii="宋体" w:hAnsi="宋体" w:cs="宋体"/>
                <w:bCs/>
                <w:color w:val="auto"/>
                <w:sz w:val="24"/>
              </w:rPr>
              <w:t>是否残疾人福利性单位参加采购活动：是（   ）；否（   ）</w:t>
            </w:r>
          </w:p>
        </w:tc>
      </w:tr>
    </w:tbl>
    <w:p>
      <w:pPr>
        <w:spacing w:line="360" w:lineRule="auto"/>
        <w:ind w:firstLine="240" w:firstLineChars="100"/>
        <w:outlineLvl w:val="1"/>
        <w:rPr>
          <w:rFonts w:ascii="宋体" w:hAnsi="宋体" w:cs="宋体"/>
          <w:bCs/>
          <w:color w:val="auto"/>
          <w:sz w:val="24"/>
        </w:rPr>
      </w:pPr>
      <w:bookmarkStart w:id="93" w:name="_Toc1660550"/>
      <w:r>
        <w:rPr>
          <w:rFonts w:hint="eastAsia" w:ascii="宋体" w:hAnsi="宋体" w:cs="宋体"/>
          <w:bCs/>
          <w:color w:val="auto"/>
          <w:sz w:val="24"/>
        </w:rPr>
        <w:t>注：1. 报价须是最终用户验收合格后的总价，否则视为不合格投标人。</w:t>
      </w:r>
      <w:bookmarkEnd w:id="93"/>
    </w:p>
    <w:p>
      <w:pPr>
        <w:spacing w:line="360" w:lineRule="auto"/>
        <w:ind w:firstLine="720" w:firstLineChars="300"/>
        <w:outlineLvl w:val="1"/>
        <w:rPr>
          <w:rFonts w:ascii="宋体" w:hAnsi="宋体" w:cs="宋体"/>
          <w:bCs/>
          <w:color w:val="auto"/>
          <w:sz w:val="24"/>
        </w:rPr>
      </w:pPr>
      <w:bookmarkStart w:id="94" w:name="_Toc1660551"/>
      <w:r>
        <w:rPr>
          <w:rFonts w:hint="eastAsia" w:ascii="宋体" w:hAnsi="宋体" w:cs="宋体"/>
          <w:color w:val="auto"/>
          <w:sz w:val="24"/>
        </w:rPr>
        <w:t>2、投标人报价应包含：货物运输</w:t>
      </w:r>
      <w:r>
        <w:rPr>
          <w:rFonts w:hint="eastAsia" w:ascii="宋体" w:hAnsi="宋体" w:cs="宋体"/>
          <w:color w:val="auto"/>
          <w:sz w:val="24"/>
          <w:lang w:eastAsia="zh-CN"/>
        </w:rPr>
        <w:t>装卸</w:t>
      </w:r>
      <w:r>
        <w:rPr>
          <w:rFonts w:hint="eastAsia" w:ascii="宋体" w:hAnsi="宋体" w:cs="宋体"/>
          <w:color w:val="auto"/>
          <w:sz w:val="24"/>
        </w:rPr>
        <w:t>、设备安装</w:t>
      </w:r>
      <w:r>
        <w:rPr>
          <w:rFonts w:hint="eastAsia" w:ascii="宋体" w:hAnsi="宋体" w:cs="宋体"/>
          <w:color w:val="auto"/>
          <w:sz w:val="24"/>
          <w:lang w:eastAsia="zh-CN"/>
        </w:rPr>
        <w:t>调试</w:t>
      </w:r>
      <w:r>
        <w:rPr>
          <w:rFonts w:hint="eastAsia" w:ascii="宋体" w:hAnsi="宋体" w:cs="宋体"/>
          <w:color w:val="auto"/>
          <w:sz w:val="24"/>
        </w:rPr>
        <w:t>、</w:t>
      </w:r>
      <w:r>
        <w:rPr>
          <w:rFonts w:hint="eastAsia" w:ascii="宋体" w:hAnsi="宋体" w:cs="宋体"/>
          <w:color w:val="auto"/>
          <w:sz w:val="24"/>
          <w:lang w:eastAsia="zh-CN"/>
        </w:rPr>
        <w:t>税费、</w:t>
      </w:r>
      <w:r>
        <w:rPr>
          <w:rFonts w:hint="eastAsia" w:ascii="宋体" w:hAnsi="宋体" w:cs="宋体"/>
          <w:color w:val="auto"/>
          <w:sz w:val="24"/>
        </w:rPr>
        <w:t>售后等服务</w:t>
      </w:r>
      <w:bookmarkEnd w:id="94"/>
      <w:r>
        <w:rPr>
          <w:rFonts w:hint="eastAsia" w:ascii="宋体" w:hAnsi="宋体" w:cs="宋体"/>
          <w:bCs/>
          <w:color w:val="auto"/>
          <w:sz w:val="24"/>
        </w:rPr>
        <w:t xml:space="preserve"> </w:t>
      </w:r>
    </w:p>
    <w:p>
      <w:pPr>
        <w:spacing w:line="360" w:lineRule="auto"/>
        <w:ind w:firstLine="561"/>
        <w:outlineLvl w:val="1"/>
        <w:rPr>
          <w:rFonts w:ascii="宋体" w:hAnsi="宋体" w:cs="宋体"/>
          <w:bCs/>
          <w:color w:val="auto"/>
          <w:sz w:val="24"/>
        </w:rPr>
      </w:pPr>
      <w:r>
        <w:rPr>
          <w:rFonts w:hint="eastAsia" w:ascii="宋体" w:hAnsi="宋体" w:cs="宋体"/>
          <w:bCs/>
          <w:color w:val="auto"/>
          <w:sz w:val="24"/>
        </w:rPr>
        <w:t xml:space="preserve"> </w:t>
      </w:r>
      <w:bookmarkStart w:id="95" w:name="_Toc1660552"/>
      <w:r>
        <w:rPr>
          <w:rFonts w:hint="eastAsia" w:ascii="宋体" w:hAnsi="宋体" w:cs="宋体"/>
          <w:bCs/>
          <w:color w:val="auto"/>
          <w:sz w:val="24"/>
        </w:rPr>
        <w:t>3.“开标一览表”为多页的，每页均需由授权代表签字并盖投标人印章。</w:t>
      </w:r>
      <w:bookmarkEnd w:id="95"/>
    </w:p>
    <w:p>
      <w:pPr>
        <w:spacing w:line="360" w:lineRule="auto"/>
        <w:ind w:firstLine="720" w:firstLineChars="300"/>
        <w:rPr>
          <w:rFonts w:ascii="宋体" w:hAnsi="宋体" w:cs="宋体"/>
          <w:bCs/>
          <w:color w:val="auto"/>
          <w:sz w:val="24"/>
        </w:rPr>
      </w:pPr>
      <w:r>
        <w:rPr>
          <w:rFonts w:hint="eastAsia" w:ascii="宋体" w:hAnsi="宋体" w:cs="宋体"/>
          <w:bCs/>
          <w:color w:val="auto"/>
          <w:sz w:val="24"/>
        </w:rPr>
        <w:t>4、是否小微型企业产品栏，在相应的括弧里打勾（</w:t>
      </w:r>
      <w:r>
        <w:rPr>
          <w:rFonts w:ascii="Arial" w:hAnsi="Arial" w:cs="Arial"/>
          <w:bCs/>
          <w:color w:val="auto"/>
          <w:sz w:val="24"/>
        </w:rPr>
        <w:t>√</w:t>
      </w:r>
      <w:r>
        <w:rPr>
          <w:rFonts w:hint="eastAsia" w:ascii="宋体" w:hAnsi="宋体" w:cs="宋体"/>
          <w:bCs/>
          <w:color w:val="auto"/>
          <w:sz w:val="24"/>
        </w:rPr>
        <w:t>）,空白则默认为非小微型产品投标。</w:t>
      </w:r>
    </w:p>
    <w:p>
      <w:pPr>
        <w:spacing w:line="360" w:lineRule="auto"/>
        <w:ind w:firstLine="720" w:firstLineChars="300"/>
        <w:rPr>
          <w:rFonts w:ascii="宋体" w:hAnsi="宋体" w:cs="宋体"/>
          <w:bCs/>
          <w:color w:val="auto"/>
          <w:sz w:val="24"/>
        </w:rPr>
      </w:pPr>
      <w:r>
        <w:rPr>
          <w:rFonts w:hint="eastAsia" w:ascii="宋体" w:hAnsi="宋体" w:cs="宋体"/>
          <w:bCs/>
          <w:color w:val="auto"/>
          <w:sz w:val="24"/>
        </w:rPr>
        <w:t>5、是否监狱企业栏，在相应的括弧里打勾（</w:t>
      </w:r>
      <w:r>
        <w:rPr>
          <w:rFonts w:ascii="Arial" w:hAnsi="Arial" w:cs="Arial"/>
          <w:bCs/>
          <w:color w:val="auto"/>
          <w:sz w:val="24"/>
        </w:rPr>
        <w:t>√</w:t>
      </w:r>
      <w:r>
        <w:rPr>
          <w:rFonts w:hint="eastAsia" w:ascii="宋体" w:hAnsi="宋体" w:cs="宋体"/>
          <w:bCs/>
          <w:color w:val="auto"/>
          <w:sz w:val="24"/>
        </w:rPr>
        <w:t>）,空白则默认为非监狱企业参与投标。</w:t>
      </w:r>
    </w:p>
    <w:p>
      <w:pPr>
        <w:spacing w:line="360" w:lineRule="auto"/>
        <w:ind w:firstLine="720" w:firstLineChars="300"/>
        <w:rPr>
          <w:rFonts w:ascii="宋体" w:hAnsi="宋体" w:cs="宋体"/>
          <w:bCs/>
          <w:color w:val="auto"/>
          <w:sz w:val="24"/>
        </w:rPr>
      </w:pPr>
      <w:r>
        <w:rPr>
          <w:rFonts w:hint="eastAsia" w:ascii="宋体" w:hAnsi="宋体" w:cs="宋体"/>
          <w:bCs/>
          <w:color w:val="auto"/>
          <w:sz w:val="24"/>
        </w:rPr>
        <w:t>6、是否残疾人福利性单位栏，在相应的括弧里打勾（</w:t>
      </w:r>
      <w:r>
        <w:rPr>
          <w:rFonts w:ascii="Arial" w:hAnsi="Arial" w:cs="Arial"/>
          <w:bCs/>
          <w:color w:val="auto"/>
          <w:sz w:val="24"/>
        </w:rPr>
        <w:t>√</w:t>
      </w:r>
      <w:r>
        <w:rPr>
          <w:rFonts w:hint="eastAsia" w:ascii="宋体" w:hAnsi="宋体" w:cs="宋体"/>
          <w:bCs/>
          <w:color w:val="auto"/>
          <w:sz w:val="24"/>
        </w:rPr>
        <w:t>）,空白则默认为非残疾人福利性单位参与投标。</w:t>
      </w:r>
    </w:p>
    <w:p>
      <w:pPr>
        <w:spacing w:line="360" w:lineRule="auto"/>
        <w:ind w:firstLine="480" w:firstLineChars="200"/>
        <w:rPr>
          <w:rFonts w:ascii="宋体" w:hAnsi="宋体" w:cs="宋体"/>
          <w:color w:val="auto"/>
          <w:sz w:val="24"/>
        </w:rPr>
      </w:pPr>
      <w:r>
        <w:rPr>
          <w:rFonts w:hint="eastAsia" w:ascii="宋体" w:hAnsi="宋体" w:cs="宋体"/>
          <w:color w:val="auto"/>
          <w:sz w:val="24"/>
        </w:rPr>
        <w:t>法定代表人</w:t>
      </w:r>
      <w:r>
        <w:rPr>
          <w:rFonts w:hint="eastAsia" w:ascii="宋体" w:hAnsi="宋体" w:cs="宋体"/>
          <w:color w:val="auto"/>
          <w:sz w:val="24"/>
          <w:lang w:eastAsia="zh-CN"/>
        </w:rPr>
        <w:t>（或被授权代表）</w:t>
      </w:r>
      <w:r>
        <w:rPr>
          <w:rFonts w:hint="eastAsia" w:ascii="宋体" w:hAnsi="宋体" w:cs="宋体"/>
          <w:color w:val="auto"/>
          <w:sz w:val="24"/>
        </w:rPr>
        <w:t>（签字</w:t>
      </w:r>
      <w:r>
        <w:rPr>
          <w:rFonts w:hint="eastAsia" w:ascii="宋体" w:hAnsi="宋体" w:cs="宋体"/>
          <w:color w:val="auto"/>
          <w:sz w:val="24"/>
          <w:lang w:eastAsia="zh-CN"/>
        </w:rPr>
        <w:t>及盖章</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供应商名称：         （盖章）</w:t>
      </w:r>
    </w:p>
    <w:p>
      <w:pPr>
        <w:spacing w:line="360" w:lineRule="auto"/>
        <w:ind w:firstLine="480" w:firstLineChars="200"/>
        <w:rPr>
          <w:rFonts w:hint="eastAsia" w:ascii="宋体" w:hAnsi="宋体"/>
          <w:b/>
          <w:color w:val="auto"/>
          <w:sz w:val="32"/>
        </w:rPr>
      </w:pPr>
      <w:r>
        <w:rPr>
          <w:rFonts w:hint="eastAsia" w:ascii="宋体" w:hAnsi="宋体" w:cs="宋体"/>
          <w:color w:val="auto"/>
          <w:sz w:val="24"/>
        </w:rPr>
        <w:t>日    期：   年   月  日</w:t>
      </w:r>
    </w:p>
    <w:p>
      <w:pPr>
        <w:rPr>
          <w:rFonts w:hint="eastAsia" w:ascii="宋体" w:hAnsi="宋体"/>
          <w:b/>
          <w:color w:val="auto"/>
          <w:sz w:val="32"/>
        </w:rPr>
      </w:pPr>
      <w:r>
        <w:rPr>
          <w:rFonts w:hint="eastAsia" w:ascii="宋体" w:hAnsi="宋体"/>
          <w:b/>
          <w:color w:val="auto"/>
          <w:sz w:val="32"/>
        </w:rPr>
        <w:br w:type="page"/>
      </w:r>
    </w:p>
    <w:p>
      <w:pPr>
        <w:spacing w:line="360" w:lineRule="auto"/>
        <w:jc w:val="center"/>
        <w:rPr>
          <w:rFonts w:ascii="宋体" w:hAnsi="宋体"/>
          <w:b/>
          <w:color w:val="auto"/>
          <w:sz w:val="32"/>
        </w:rPr>
      </w:pPr>
      <w:r>
        <w:rPr>
          <w:rFonts w:hint="eastAsia" w:ascii="宋体" w:hAnsi="宋体"/>
          <w:b/>
          <w:color w:val="auto"/>
          <w:sz w:val="32"/>
        </w:rPr>
        <w:t>2、响应函</w:t>
      </w:r>
    </w:p>
    <w:p>
      <w:pPr>
        <w:spacing w:line="360" w:lineRule="auto"/>
        <w:rPr>
          <w:rFonts w:ascii="宋体" w:hAnsi="宋体"/>
          <w:color w:val="auto"/>
          <w:sz w:val="24"/>
        </w:rPr>
      </w:pPr>
    </w:p>
    <w:p>
      <w:pPr>
        <w:spacing w:before="19" w:line="360" w:lineRule="auto"/>
        <w:rPr>
          <w:rFonts w:ascii="宋体" w:hAnsi="宋体"/>
          <w:color w:val="auto"/>
          <w:sz w:val="24"/>
        </w:rPr>
      </w:pPr>
      <w:r>
        <w:rPr>
          <w:rFonts w:hint="eastAsia" w:ascii="宋体" w:hAnsi="宋体"/>
          <w:color w:val="auto"/>
          <w:sz w:val="24"/>
        </w:rPr>
        <w:t>致：</w:t>
      </w:r>
      <w:r>
        <w:rPr>
          <w:rFonts w:hint="eastAsia" w:ascii="宋体" w:hAnsi="宋体"/>
          <w:color w:val="auto"/>
          <w:sz w:val="24"/>
          <w:lang w:eastAsia="zh-CN"/>
        </w:rPr>
        <w:t>海南众采招标代理有限公司</w:t>
      </w:r>
      <w:r>
        <w:rPr>
          <w:rFonts w:hint="eastAsia" w:ascii="宋体" w:hAnsi="宋体"/>
          <w:color w:val="auto"/>
          <w:sz w:val="24"/>
        </w:rPr>
        <w:t>：</w:t>
      </w:r>
    </w:p>
    <w:p>
      <w:pPr>
        <w:autoSpaceDE w:val="0"/>
        <w:autoSpaceDN w:val="0"/>
        <w:snapToGrid w:val="0"/>
        <w:spacing w:line="360" w:lineRule="auto"/>
        <w:ind w:firstLine="384" w:firstLineChars="150"/>
        <w:rPr>
          <w:rFonts w:hAnsi="宋体" w:cs="宋体"/>
          <w:color w:val="auto"/>
          <w:spacing w:val="8"/>
          <w:sz w:val="24"/>
          <w:szCs w:val="24"/>
          <w:u w:val="single"/>
        </w:rPr>
      </w:pPr>
      <w:r>
        <w:rPr>
          <w:rFonts w:hint="eastAsia" w:hAnsi="宋体" w:cs="宋体"/>
          <w:color w:val="auto"/>
          <w:spacing w:val="8"/>
          <w:sz w:val="24"/>
          <w:szCs w:val="24"/>
        </w:rPr>
        <w:t>根据贵方</w:t>
      </w:r>
      <w:r>
        <w:rPr>
          <w:rFonts w:hint="eastAsia" w:hAnsi="宋体" w:cs="宋体"/>
          <w:color w:val="auto"/>
          <w:spacing w:val="8"/>
          <w:sz w:val="24"/>
          <w:szCs w:val="24"/>
          <w:u w:val="single"/>
        </w:rPr>
        <w:t xml:space="preserve">                        </w:t>
      </w:r>
      <w:r>
        <w:rPr>
          <w:rFonts w:hint="eastAsia" w:hAnsi="宋体" w:cs="宋体"/>
          <w:color w:val="auto"/>
          <w:spacing w:val="8"/>
          <w:sz w:val="24"/>
          <w:szCs w:val="24"/>
        </w:rPr>
        <w:t>项目，编号为</w:t>
      </w:r>
      <w:r>
        <w:rPr>
          <w:rFonts w:hint="eastAsia" w:hAnsi="宋体" w:cs="宋体"/>
          <w:color w:val="auto"/>
          <w:spacing w:val="8"/>
          <w:sz w:val="24"/>
          <w:szCs w:val="24"/>
          <w:u w:val="single"/>
        </w:rPr>
        <w:t xml:space="preserve">                </w:t>
      </w:r>
      <w:r>
        <w:rPr>
          <w:rFonts w:hint="eastAsia" w:hAnsi="宋体" w:cs="宋体"/>
          <w:color w:val="auto"/>
          <w:spacing w:val="8"/>
          <w:sz w:val="24"/>
          <w:szCs w:val="24"/>
        </w:rPr>
        <w:t>的谈判邀请，正式授权的下述签字人</w:t>
      </w:r>
      <w:r>
        <w:rPr>
          <w:rFonts w:hint="eastAsia" w:hAnsi="宋体" w:cs="宋体"/>
          <w:color w:val="auto"/>
          <w:spacing w:val="8"/>
          <w:sz w:val="24"/>
          <w:szCs w:val="24"/>
          <w:u w:val="single"/>
        </w:rPr>
        <w:t xml:space="preserve">                   </w:t>
      </w:r>
      <w:r>
        <w:rPr>
          <w:rFonts w:hint="eastAsia" w:hAnsi="宋体" w:cs="宋体"/>
          <w:color w:val="auto"/>
          <w:spacing w:val="8"/>
          <w:sz w:val="24"/>
          <w:szCs w:val="24"/>
        </w:rPr>
        <w:t xml:space="preserve"> (姓名和职务)代表供应商</w:t>
      </w:r>
      <w:r>
        <w:rPr>
          <w:rFonts w:hint="eastAsia" w:hAnsi="宋体" w:cs="宋体"/>
          <w:color w:val="auto"/>
          <w:spacing w:val="8"/>
          <w:sz w:val="24"/>
          <w:szCs w:val="24"/>
          <w:u w:val="single"/>
        </w:rPr>
        <w:t xml:space="preserve">                            </w:t>
      </w:r>
      <w:r>
        <w:rPr>
          <w:rFonts w:hint="eastAsia" w:hAnsi="宋体" w:cs="宋体"/>
          <w:color w:val="auto"/>
          <w:spacing w:val="8"/>
          <w:sz w:val="24"/>
          <w:szCs w:val="24"/>
        </w:rPr>
        <w:t>(供应商的名称)，提交正本1份，副本</w:t>
      </w:r>
      <w:r>
        <w:rPr>
          <w:rFonts w:hint="eastAsia" w:hAnsi="宋体" w:cs="宋体"/>
          <w:color w:val="auto"/>
          <w:spacing w:val="8"/>
          <w:sz w:val="24"/>
          <w:szCs w:val="24"/>
          <w:lang w:val="en-US" w:eastAsia="zh-CN"/>
        </w:rPr>
        <w:t>2</w:t>
      </w:r>
      <w:bookmarkStart w:id="111" w:name="_GoBack"/>
      <w:bookmarkEnd w:id="111"/>
      <w:r>
        <w:rPr>
          <w:rFonts w:hint="eastAsia" w:hAnsi="宋体" w:cs="宋体"/>
          <w:color w:val="auto"/>
          <w:spacing w:val="8"/>
          <w:sz w:val="24"/>
          <w:szCs w:val="24"/>
        </w:rPr>
        <w:t>份。</w:t>
      </w:r>
    </w:p>
    <w:p>
      <w:pPr>
        <w:autoSpaceDE w:val="0"/>
        <w:autoSpaceDN w:val="0"/>
        <w:snapToGrid w:val="0"/>
        <w:spacing w:line="360" w:lineRule="auto"/>
        <w:rPr>
          <w:rFonts w:hAnsi="宋体" w:cs="宋体"/>
          <w:color w:val="auto"/>
          <w:spacing w:val="8"/>
          <w:sz w:val="24"/>
          <w:szCs w:val="24"/>
        </w:rPr>
      </w:pPr>
      <w:r>
        <w:rPr>
          <w:rFonts w:hint="eastAsia" w:hAnsi="宋体" w:cs="宋体"/>
          <w:color w:val="auto"/>
          <w:spacing w:val="8"/>
          <w:sz w:val="24"/>
          <w:szCs w:val="24"/>
        </w:rPr>
        <w:t>据此函，签字人兹承诺如下：</w:t>
      </w:r>
    </w:p>
    <w:p>
      <w:pPr>
        <w:widowControl/>
        <w:numPr>
          <w:ilvl w:val="0"/>
          <w:numId w:val="7"/>
        </w:numPr>
        <w:autoSpaceDE w:val="0"/>
        <w:autoSpaceDN w:val="0"/>
        <w:snapToGrid w:val="0"/>
        <w:spacing w:line="360" w:lineRule="auto"/>
        <w:rPr>
          <w:rFonts w:hAnsi="宋体" w:cs="宋体"/>
          <w:color w:val="auto"/>
          <w:spacing w:val="8"/>
          <w:sz w:val="24"/>
          <w:szCs w:val="24"/>
        </w:rPr>
      </w:pPr>
      <w:r>
        <w:rPr>
          <w:rFonts w:hint="eastAsia" w:hAnsi="宋体" w:cs="宋体"/>
          <w:color w:val="auto"/>
          <w:spacing w:val="8"/>
          <w:sz w:val="24"/>
          <w:szCs w:val="24"/>
        </w:rPr>
        <w:t>按谈判文件规定提供交付的产品的报价总价为人民币</w:t>
      </w:r>
      <w:r>
        <w:rPr>
          <w:rFonts w:hint="eastAsia" w:hAnsi="宋体" w:cs="宋体"/>
          <w:color w:val="auto"/>
          <w:spacing w:val="8"/>
          <w:sz w:val="24"/>
          <w:szCs w:val="24"/>
          <w:u w:val="single"/>
        </w:rPr>
        <w:t xml:space="preserve">￥                       </w:t>
      </w:r>
      <w:r>
        <w:rPr>
          <w:rFonts w:hint="eastAsia" w:hAnsi="宋体" w:cs="宋体"/>
          <w:color w:val="auto"/>
          <w:spacing w:val="8"/>
          <w:sz w:val="24"/>
          <w:szCs w:val="24"/>
        </w:rPr>
        <w:t>元，(大写</w:t>
      </w:r>
      <w:r>
        <w:rPr>
          <w:rFonts w:hint="eastAsia" w:hAnsi="宋体" w:cs="宋体"/>
          <w:color w:val="auto"/>
          <w:spacing w:val="8"/>
          <w:sz w:val="24"/>
          <w:szCs w:val="24"/>
          <w:u w:val="single"/>
        </w:rPr>
        <w:t xml:space="preserve">                  </w:t>
      </w:r>
      <w:r>
        <w:rPr>
          <w:rFonts w:hint="eastAsia" w:hAnsi="宋体" w:cs="宋体"/>
          <w:color w:val="auto"/>
          <w:spacing w:val="8"/>
          <w:sz w:val="24"/>
          <w:szCs w:val="24"/>
        </w:rPr>
        <w:t>)。</w:t>
      </w:r>
    </w:p>
    <w:p>
      <w:pPr>
        <w:autoSpaceDE w:val="0"/>
        <w:autoSpaceDN w:val="0"/>
        <w:snapToGrid w:val="0"/>
        <w:spacing w:line="360" w:lineRule="auto"/>
        <w:rPr>
          <w:rFonts w:hAnsi="宋体" w:cs="宋体"/>
          <w:color w:val="auto"/>
          <w:spacing w:val="8"/>
          <w:sz w:val="24"/>
          <w:szCs w:val="24"/>
        </w:rPr>
      </w:pPr>
      <w:r>
        <w:rPr>
          <w:rFonts w:hint="eastAsia" w:hAnsi="宋体" w:cs="宋体"/>
          <w:color w:val="auto"/>
          <w:spacing w:val="8"/>
          <w:sz w:val="24"/>
          <w:szCs w:val="24"/>
        </w:rPr>
        <w:t>（2）我们根据谈判文件的规定，承担完成合同的责任和义务。</w:t>
      </w:r>
    </w:p>
    <w:p>
      <w:pPr>
        <w:autoSpaceDE w:val="0"/>
        <w:autoSpaceDN w:val="0"/>
        <w:snapToGrid w:val="0"/>
        <w:spacing w:line="360" w:lineRule="auto"/>
        <w:rPr>
          <w:rFonts w:hAnsi="宋体" w:cs="宋体"/>
          <w:color w:val="auto"/>
          <w:spacing w:val="8"/>
          <w:sz w:val="24"/>
          <w:szCs w:val="24"/>
        </w:rPr>
      </w:pPr>
      <w:r>
        <w:rPr>
          <w:rFonts w:hint="eastAsia" w:hAnsi="宋体" w:cs="宋体"/>
          <w:color w:val="auto"/>
          <w:spacing w:val="8"/>
          <w:sz w:val="24"/>
          <w:szCs w:val="24"/>
        </w:rPr>
        <w:t>（3）</w:t>
      </w:r>
      <w:r>
        <w:rPr>
          <w:rFonts w:hint="eastAsia" w:hAnsi="宋体"/>
          <w:color w:val="auto"/>
          <w:sz w:val="24"/>
          <w:szCs w:val="24"/>
        </w:rPr>
        <w:t xml:space="preserve"> 我们已详细审核全部谈判文件，包括谈判文件修改书(如果有的话)，参考资料及有关附件，</w:t>
      </w:r>
      <w:r>
        <w:rPr>
          <w:rFonts w:hint="eastAsia" w:hAnsi="宋体" w:cs="宋体"/>
          <w:color w:val="auto"/>
          <w:spacing w:val="8"/>
          <w:sz w:val="24"/>
          <w:szCs w:val="24"/>
        </w:rPr>
        <w:t>我们</w:t>
      </w:r>
      <w:r>
        <w:rPr>
          <w:rFonts w:hint="eastAsia" w:hAnsi="宋体"/>
          <w:color w:val="auto"/>
          <w:sz w:val="24"/>
          <w:szCs w:val="24"/>
        </w:rPr>
        <w:t>完全理解并放弃</w:t>
      </w:r>
      <w:r>
        <w:rPr>
          <w:rFonts w:hint="eastAsia" w:hAnsi="宋体" w:cs="宋体"/>
          <w:color w:val="auto"/>
          <w:spacing w:val="8"/>
          <w:sz w:val="24"/>
          <w:szCs w:val="24"/>
        </w:rPr>
        <w:t>提出含糊不清或误解的问题的权利。</w:t>
      </w:r>
    </w:p>
    <w:p>
      <w:pPr>
        <w:autoSpaceDE w:val="0"/>
        <w:autoSpaceDN w:val="0"/>
        <w:snapToGrid w:val="0"/>
        <w:spacing w:line="360" w:lineRule="auto"/>
        <w:rPr>
          <w:rFonts w:hAnsi="宋体" w:cs="宋体"/>
          <w:color w:val="auto"/>
          <w:spacing w:val="8"/>
          <w:sz w:val="24"/>
          <w:szCs w:val="24"/>
        </w:rPr>
      </w:pPr>
      <w:r>
        <w:rPr>
          <w:rFonts w:hint="eastAsia" w:hAnsi="宋体" w:cs="宋体"/>
          <w:color w:val="auto"/>
          <w:spacing w:val="8"/>
          <w:sz w:val="24"/>
          <w:szCs w:val="24"/>
        </w:rPr>
        <w:t xml:space="preserve">（4） </w:t>
      </w:r>
      <w:r>
        <w:rPr>
          <w:rFonts w:hint="eastAsia" w:hAnsi="宋体"/>
          <w:color w:val="auto"/>
          <w:sz w:val="24"/>
          <w:szCs w:val="24"/>
        </w:rPr>
        <w:t>本</w:t>
      </w:r>
      <w:r>
        <w:rPr>
          <w:rFonts w:hint="eastAsia" w:hAnsi="宋体" w:cs="宋体"/>
          <w:color w:val="auto"/>
          <w:spacing w:val="8"/>
          <w:sz w:val="24"/>
          <w:szCs w:val="24"/>
        </w:rPr>
        <w:t>报价</w:t>
      </w:r>
      <w:r>
        <w:rPr>
          <w:rFonts w:hint="eastAsia" w:hAnsi="宋体"/>
          <w:color w:val="auto"/>
          <w:sz w:val="24"/>
          <w:szCs w:val="24"/>
        </w:rPr>
        <w:t>有效期为自开标日起</w:t>
      </w:r>
      <w:r>
        <w:rPr>
          <w:rFonts w:hint="eastAsia" w:hAnsi="宋体"/>
          <w:color w:val="auto"/>
          <w:sz w:val="24"/>
          <w:szCs w:val="24"/>
          <w:u w:val="single"/>
        </w:rPr>
        <w:t xml:space="preserve"> </w:t>
      </w:r>
      <w:r>
        <w:rPr>
          <w:rFonts w:hint="eastAsia" w:hAnsi="宋体"/>
          <w:i/>
          <w:iCs/>
          <w:color w:val="auto"/>
          <w:sz w:val="24"/>
          <w:szCs w:val="24"/>
          <w:u w:val="single"/>
          <w:lang w:val="en-US" w:eastAsia="zh-CN"/>
        </w:rPr>
        <w:t>60</w:t>
      </w:r>
      <w:r>
        <w:rPr>
          <w:rFonts w:hint="eastAsia" w:hAnsi="宋体"/>
          <w:i/>
          <w:iCs/>
          <w:color w:val="auto"/>
          <w:sz w:val="24"/>
          <w:szCs w:val="24"/>
          <w:u w:val="single"/>
          <w:lang w:eastAsia="zh-CN"/>
        </w:rPr>
        <w:t>天</w:t>
      </w:r>
      <w:r>
        <w:rPr>
          <w:rFonts w:hint="eastAsia" w:hAnsi="宋体"/>
          <w:color w:val="auto"/>
          <w:sz w:val="24"/>
          <w:szCs w:val="24"/>
        </w:rPr>
        <w:t>。</w:t>
      </w:r>
      <w:r>
        <w:rPr>
          <w:rFonts w:hint="eastAsia" w:hAnsi="宋体" w:cs="宋体"/>
          <w:color w:val="auto"/>
          <w:spacing w:val="8"/>
          <w:sz w:val="24"/>
          <w:szCs w:val="24"/>
        </w:rPr>
        <w:t>报价有效期满之前均具有约束力。</w:t>
      </w:r>
    </w:p>
    <w:p>
      <w:pPr>
        <w:autoSpaceDE w:val="0"/>
        <w:autoSpaceDN w:val="0"/>
        <w:snapToGrid w:val="0"/>
        <w:spacing w:line="360" w:lineRule="auto"/>
        <w:rPr>
          <w:rFonts w:hAnsi="宋体" w:cs="宋体"/>
          <w:color w:val="auto"/>
          <w:spacing w:val="8"/>
          <w:sz w:val="24"/>
          <w:szCs w:val="24"/>
        </w:rPr>
      </w:pPr>
      <w:r>
        <w:rPr>
          <w:rFonts w:hint="eastAsia" w:hAnsi="宋体" w:cs="宋体"/>
          <w:color w:val="auto"/>
          <w:spacing w:val="8"/>
          <w:sz w:val="24"/>
          <w:szCs w:val="24"/>
        </w:rPr>
        <w:t>（5）</w:t>
      </w:r>
      <w:r>
        <w:rPr>
          <w:rFonts w:hint="eastAsia" w:hAnsi="宋体"/>
          <w:color w:val="auto"/>
          <w:sz w:val="24"/>
          <w:szCs w:val="24"/>
        </w:rPr>
        <w:t>同意按</w:t>
      </w:r>
      <w:r>
        <w:rPr>
          <w:rFonts w:hint="eastAsia" w:hAnsi="宋体" w:cs="宋体"/>
          <w:color w:val="auto"/>
          <w:spacing w:val="8"/>
          <w:sz w:val="24"/>
          <w:szCs w:val="24"/>
        </w:rPr>
        <w:t>供应商须知中</w:t>
      </w:r>
      <w:r>
        <w:rPr>
          <w:rFonts w:hint="eastAsia" w:hAnsi="宋体"/>
          <w:color w:val="auto"/>
          <w:sz w:val="24"/>
          <w:szCs w:val="24"/>
        </w:rPr>
        <w:t>关于不予退还谈判保证金的规定。</w:t>
      </w:r>
    </w:p>
    <w:p>
      <w:pPr>
        <w:autoSpaceDE w:val="0"/>
        <w:autoSpaceDN w:val="0"/>
        <w:snapToGrid w:val="0"/>
        <w:spacing w:line="360" w:lineRule="auto"/>
        <w:rPr>
          <w:rFonts w:hAnsi="宋体" w:cs="宋体"/>
          <w:color w:val="auto"/>
          <w:spacing w:val="8"/>
          <w:sz w:val="24"/>
          <w:szCs w:val="24"/>
        </w:rPr>
      </w:pPr>
      <w:r>
        <w:rPr>
          <w:rFonts w:hint="eastAsia" w:hAnsi="宋体" w:cs="宋体"/>
          <w:color w:val="auto"/>
          <w:spacing w:val="8"/>
          <w:sz w:val="24"/>
          <w:szCs w:val="24"/>
        </w:rPr>
        <w:t>（6）同意向贵方提供贵方可能要求的与本报价有关任何证据或资料。</w:t>
      </w:r>
    </w:p>
    <w:p>
      <w:pPr>
        <w:autoSpaceDE w:val="0"/>
        <w:autoSpaceDN w:val="0"/>
        <w:snapToGrid w:val="0"/>
        <w:spacing w:line="360" w:lineRule="auto"/>
        <w:rPr>
          <w:rFonts w:hAnsi="宋体" w:cs="宋体"/>
          <w:color w:val="auto"/>
          <w:spacing w:val="8"/>
          <w:sz w:val="24"/>
          <w:szCs w:val="24"/>
        </w:rPr>
      </w:pPr>
      <w:r>
        <w:rPr>
          <w:rFonts w:hint="eastAsia" w:hAnsi="宋体" w:cs="宋体"/>
          <w:color w:val="auto"/>
          <w:spacing w:val="8"/>
          <w:sz w:val="24"/>
          <w:szCs w:val="24"/>
        </w:rPr>
        <w:t>（7）如果我方成交，我方保证按照谈判文件的规定向贵方交纳成交服务费</w:t>
      </w:r>
    </w:p>
    <w:p>
      <w:pPr>
        <w:autoSpaceDE w:val="0"/>
        <w:autoSpaceDN w:val="0"/>
        <w:snapToGrid w:val="0"/>
        <w:spacing w:line="360" w:lineRule="auto"/>
        <w:rPr>
          <w:rFonts w:hAnsi="宋体" w:cs="宋体"/>
          <w:color w:val="auto"/>
          <w:spacing w:val="8"/>
          <w:sz w:val="24"/>
          <w:szCs w:val="24"/>
        </w:rPr>
      </w:pPr>
      <w:r>
        <w:rPr>
          <w:rFonts w:hint="eastAsia" w:hAnsi="宋体" w:cs="宋体"/>
          <w:color w:val="auto"/>
          <w:spacing w:val="8"/>
          <w:sz w:val="24"/>
          <w:szCs w:val="24"/>
        </w:rPr>
        <w:t>与本报价有关的正式通讯地址为：</w:t>
      </w:r>
    </w:p>
    <w:p>
      <w:pPr>
        <w:autoSpaceDE w:val="0"/>
        <w:autoSpaceDN w:val="0"/>
        <w:snapToGrid w:val="0"/>
        <w:spacing w:line="360" w:lineRule="auto"/>
        <w:rPr>
          <w:rFonts w:hAnsi="宋体" w:cs="宋体"/>
          <w:color w:val="auto"/>
          <w:spacing w:val="8"/>
          <w:sz w:val="24"/>
          <w:szCs w:val="24"/>
        </w:rPr>
      </w:pPr>
    </w:p>
    <w:p>
      <w:pPr>
        <w:autoSpaceDE w:val="0"/>
        <w:autoSpaceDN w:val="0"/>
        <w:snapToGrid w:val="0"/>
        <w:spacing w:line="360" w:lineRule="auto"/>
        <w:rPr>
          <w:rFonts w:hAnsi="宋体" w:cs="宋体"/>
          <w:color w:val="auto"/>
          <w:spacing w:val="8"/>
          <w:sz w:val="24"/>
          <w:szCs w:val="24"/>
        </w:rPr>
      </w:pPr>
      <w:r>
        <w:rPr>
          <w:rFonts w:hint="eastAsia" w:hAnsi="宋体" w:cs="宋体"/>
          <w:color w:val="auto"/>
          <w:spacing w:val="8"/>
          <w:sz w:val="24"/>
          <w:szCs w:val="24"/>
        </w:rPr>
        <w:t>供应商名称（公章）：</w:t>
      </w:r>
      <w:r>
        <w:rPr>
          <w:rFonts w:hint="eastAsia" w:hAnsi="宋体" w:cs="宋体"/>
          <w:color w:val="auto"/>
          <w:spacing w:val="8"/>
          <w:sz w:val="24"/>
          <w:szCs w:val="24"/>
          <w:u w:val="single"/>
        </w:rPr>
        <w:t xml:space="preserve">                                </w:t>
      </w:r>
      <w:r>
        <w:rPr>
          <w:rFonts w:hint="eastAsia" w:hAnsi="宋体" w:cs="宋体"/>
          <w:color w:val="auto"/>
          <w:spacing w:val="8"/>
          <w:sz w:val="24"/>
          <w:szCs w:val="24"/>
        </w:rPr>
        <w:t>.</w:t>
      </w:r>
    </w:p>
    <w:p>
      <w:pPr>
        <w:spacing w:line="360" w:lineRule="auto"/>
        <w:jc w:val="left"/>
        <w:rPr>
          <w:rFonts w:hAnsi="宋体"/>
          <w:color w:val="auto"/>
          <w:spacing w:val="8"/>
          <w:sz w:val="24"/>
          <w:szCs w:val="24"/>
          <w:u w:val="single"/>
        </w:rPr>
      </w:pPr>
      <w:r>
        <w:rPr>
          <w:rFonts w:hint="eastAsia" w:hAnsi="宋体" w:cs="宋体"/>
          <w:color w:val="auto"/>
          <w:spacing w:val="8"/>
          <w:sz w:val="24"/>
          <w:szCs w:val="24"/>
        </w:rPr>
        <w:t>地址：</w:t>
      </w:r>
      <w:r>
        <w:rPr>
          <w:rFonts w:hint="eastAsia" w:hAnsi="宋体" w:cs="宋体"/>
          <w:color w:val="auto"/>
          <w:spacing w:val="8"/>
          <w:sz w:val="24"/>
          <w:szCs w:val="24"/>
          <w:u w:val="single"/>
        </w:rPr>
        <w:t xml:space="preserve">                                  </w:t>
      </w:r>
    </w:p>
    <w:p>
      <w:pPr>
        <w:autoSpaceDE w:val="0"/>
        <w:autoSpaceDN w:val="0"/>
        <w:snapToGrid w:val="0"/>
        <w:spacing w:line="360" w:lineRule="auto"/>
        <w:rPr>
          <w:rFonts w:hAnsi="宋体" w:cs="宋体"/>
          <w:color w:val="auto"/>
          <w:spacing w:val="8"/>
          <w:sz w:val="24"/>
          <w:szCs w:val="24"/>
          <w:u w:val="single"/>
        </w:rPr>
      </w:pPr>
      <w:r>
        <w:rPr>
          <w:rFonts w:hint="eastAsia" w:hAnsi="宋体" w:cs="宋体"/>
          <w:color w:val="auto"/>
          <w:spacing w:val="8"/>
          <w:sz w:val="24"/>
          <w:szCs w:val="24"/>
        </w:rPr>
        <w:t xml:space="preserve">电话： </w:t>
      </w:r>
      <w:r>
        <w:rPr>
          <w:rFonts w:hint="eastAsia" w:hAnsi="宋体" w:cs="宋体"/>
          <w:color w:val="auto"/>
          <w:spacing w:val="8"/>
          <w:sz w:val="24"/>
          <w:szCs w:val="24"/>
          <w:u w:val="single"/>
        </w:rPr>
        <w:t xml:space="preserve">                    </w:t>
      </w:r>
      <w:r>
        <w:rPr>
          <w:rFonts w:hint="eastAsia" w:hAnsi="宋体" w:cs="宋体"/>
          <w:color w:val="auto"/>
          <w:spacing w:val="8"/>
          <w:sz w:val="24"/>
          <w:szCs w:val="24"/>
        </w:rPr>
        <w:t xml:space="preserve">   传真：</w:t>
      </w:r>
      <w:r>
        <w:rPr>
          <w:rFonts w:hint="eastAsia" w:hAnsi="宋体" w:cs="宋体"/>
          <w:color w:val="auto"/>
          <w:spacing w:val="8"/>
          <w:sz w:val="24"/>
          <w:szCs w:val="24"/>
          <w:u w:val="single"/>
        </w:rPr>
        <w:t xml:space="preserve">                       .  </w:t>
      </w:r>
    </w:p>
    <w:p>
      <w:pPr>
        <w:autoSpaceDE w:val="0"/>
        <w:autoSpaceDN w:val="0"/>
        <w:snapToGrid w:val="0"/>
        <w:spacing w:line="360" w:lineRule="auto"/>
        <w:rPr>
          <w:rFonts w:hAnsi="宋体" w:cs="宋体"/>
          <w:color w:val="auto"/>
          <w:spacing w:val="8"/>
          <w:sz w:val="24"/>
          <w:szCs w:val="24"/>
          <w:u w:val="single"/>
        </w:rPr>
      </w:pPr>
      <w:r>
        <w:rPr>
          <w:rFonts w:hint="eastAsia" w:hAnsi="宋体" w:cs="宋体"/>
          <w:color w:val="auto"/>
          <w:spacing w:val="8"/>
          <w:sz w:val="24"/>
          <w:szCs w:val="24"/>
        </w:rPr>
        <w:t>供应商代表姓名：</w:t>
      </w:r>
      <w:r>
        <w:rPr>
          <w:rFonts w:hint="eastAsia" w:hAnsi="宋体" w:cs="宋体"/>
          <w:color w:val="auto"/>
          <w:spacing w:val="8"/>
          <w:sz w:val="24"/>
          <w:szCs w:val="24"/>
          <w:u w:val="single"/>
        </w:rPr>
        <w:t xml:space="preserve">               </w:t>
      </w:r>
      <w:r>
        <w:rPr>
          <w:rFonts w:hint="eastAsia" w:hAnsi="宋体"/>
          <w:color w:val="auto"/>
          <w:sz w:val="24"/>
          <w:szCs w:val="24"/>
        </w:rPr>
        <w:t>签字</w:t>
      </w:r>
      <w:r>
        <w:rPr>
          <w:rFonts w:hint="eastAsia" w:hAnsi="宋体"/>
          <w:color w:val="auto"/>
          <w:sz w:val="24"/>
          <w:szCs w:val="24"/>
          <w:lang w:eastAsia="zh-CN"/>
        </w:rPr>
        <w:t>或盖章</w:t>
      </w:r>
      <w:r>
        <w:rPr>
          <w:rFonts w:hint="eastAsia" w:hAnsi="宋体"/>
          <w:color w:val="auto"/>
          <w:sz w:val="24"/>
          <w:szCs w:val="24"/>
        </w:rPr>
        <w:t>:</w:t>
      </w:r>
      <w:r>
        <w:rPr>
          <w:rFonts w:hint="eastAsia" w:hAnsi="宋体"/>
          <w:color w:val="auto"/>
          <w:sz w:val="24"/>
          <w:szCs w:val="24"/>
          <w:u w:val="single"/>
        </w:rPr>
        <w:t xml:space="preserve"> </w:t>
      </w:r>
      <w:r>
        <w:rPr>
          <w:rFonts w:hint="eastAsia" w:hAnsi="宋体" w:cs="宋体"/>
          <w:color w:val="auto"/>
          <w:spacing w:val="8"/>
          <w:sz w:val="24"/>
          <w:szCs w:val="24"/>
          <w:u w:val="single"/>
        </w:rPr>
        <w:t xml:space="preserve">               .</w:t>
      </w:r>
    </w:p>
    <w:p>
      <w:pPr>
        <w:autoSpaceDE w:val="0"/>
        <w:autoSpaceDN w:val="0"/>
        <w:snapToGrid w:val="0"/>
        <w:spacing w:line="360" w:lineRule="auto"/>
        <w:rPr>
          <w:rFonts w:hAnsi="宋体" w:cs="宋体"/>
          <w:color w:val="auto"/>
          <w:spacing w:val="8"/>
          <w:sz w:val="24"/>
          <w:szCs w:val="24"/>
          <w:u w:val="single"/>
        </w:rPr>
      </w:pPr>
      <w:r>
        <w:rPr>
          <w:rFonts w:hint="eastAsia" w:hAnsi="宋体" w:cs="宋体"/>
          <w:color w:val="auto"/>
          <w:spacing w:val="8"/>
          <w:sz w:val="24"/>
          <w:szCs w:val="24"/>
        </w:rPr>
        <w:t>日期：</w:t>
      </w:r>
      <w:r>
        <w:rPr>
          <w:rFonts w:hint="eastAsia" w:hAnsi="宋体" w:cs="宋体"/>
          <w:color w:val="auto"/>
          <w:spacing w:val="8"/>
          <w:sz w:val="24"/>
          <w:szCs w:val="24"/>
          <w:u w:val="single"/>
        </w:rPr>
        <w:t xml:space="preserve">        年       月          日         </w:t>
      </w:r>
    </w:p>
    <w:p>
      <w:pPr>
        <w:spacing w:line="360" w:lineRule="auto"/>
        <w:jc w:val="center"/>
        <w:rPr>
          <w:rFonts w:ascii="宋体" w:hAnsi="宋体"/>
          <w:color w:val="auto"/>
          <w:sz w:val="24"/>
          <w:u w:val="single"/>
        </w:rPr>
      </w:pPr>
    </w:p>
    <w:p>
      <w:pPr>
        <w:spacing w:line="360" w:lineRule="auto"/>
        <w:jc w:val="center"/>
        <w:rPr>
          <w:rFonts w:ascii="宋体" w:hAnsi="宋体"/>
          <w:color w:val="auto"/>
          <w:sz w:val="24"/>
          <w:u w:val="single"/>
        </w:rPr>
      </w:pPr>
    </w:p>
    <w:p>
      <w:pPr>
        <w:spacing w:line="360" w:lineRule="auto"/>
        <w:rPr>
          <w:rFonts w:ascii="宋体" w:hAnsi="宋体"/>
          <w:color w:val="auto"/>
          <w:sz w:val="24"/>
          <w:u w:val="single"/>
        </w:rPr>
      </w:pPr>
    </w:p>
    <w:p>
      <w:pPr>
        <w:pStyle w:val="12"/>
        <w:rPr>
          <w:color w:val="auto"/>
        </w:rPr>
      </w:pPr>
    </w:p>
    <w:p>
      <w:pPr>
        <w:spacing w:line="360" w:lineRule="auto"/>
        <w:rPr>
          <w:rFonts w:ascii="宋体" w:hAnsi="宋体"/>
          <w:color w:val="auto"/>
          <w:sz w:val="24"/>
          <w:u w:val="single"/>
        </w:rPr>
      </w:pPr>
    </w:p>
    <w:p>
      <w:pPr>
        <w:snapToGrid w:val="0"/>
        <w:spacing w:line="360" w:lineRule="auto"/>
        <w:ind w:firstLine="630" w:firstLineChars="196"/>
        <w:jc w:val="center"/>
        <w:rPr>
          <w:rFonts w:hint="eastAsia" w:hAnsi="宋体" w:eastAsia="宋体"/>
          <w:b/>
          <w:color w:val="auto"/>
          <w:sz w:val="32"/>
          <w:szCs w:val="32"/>
          <w:lang w:eastAsia="zh-CN"/>
        </w:rPr>
      </w:pPr>
      <w:r>
        <w:rPr>
          <w:rFonts w:hint="eastAsia" w:hAnsi="宋体"/>
          <w:b/>
          <w:color w:val="auto"/>
          <w:sz w:val="32"/>
          <w:szCs w:val="32"/>
        </w:rPr>
        <w:t>3、报价明细表</w:t>
      </w:r>
    </w:p>
    <w:p>
      <w:pPr>
        <w:spacing w:line="360" w:lineRule="auto"/>
        <w:rPr>
          <w:rFonts w:ascii="宋体" w:hAnsi="宋体"/>
          <w:color w:val="auto"/>
          <w:sz w:val="24"/>
          <w:szCs w:val="24"/>
        </w:rPr>
      </w:pPr>
    </w:p>
    <w:p>
      <w:pPr>
        <w:spacing w:line="360" w:lineRule="auto"/>
        <w:ind w:left="-15" w:firstLine="240"/>
        <w:rPr>
          <w:rFonts w:hint="eastAsia"/>
          <w:color w:val="auto"/>
          <w:lang w:val="en-US" w:eastAsia="zh-CN"/>
        </w:rPr>
      </w:pPr>
      <w:r>
        <w:rPr>
          <w:color w:val="auto"/>
        </w:rPr>
        <w:t>项目名称</w:t>
      </w:r>
      <w:r>
        <w:rPr>
          <w:color w:val="auto"/>
          <w:u w:val="single" w:color="auto"/>
        </w:rPr>
        <w:t>：</w:t>
      </w:r>
      <w:r>
        <w:rPr>
          <w:rFonts w:hint="eastAsia"/>
          <w:color w:val="auto"/>
          <w:u w:val="single" w:color="auto"/>
          <w:lang w:eastAsia="zh-CN"/>
        </w:rPr>
        <w:t>白沙黎族自治县公安局特种技术用车采购项目</w:t>
      </w:r>
      <w:r>
        <w:rPr>
          <w:color w:val="auto"/>
        </w:rPr>
        <w:t xml:space="preserve"> </w:t>
      </w:r>
      <w:r>
        <w:rPr>
          <w:rFonts w:hint="eastAsia"/>
          <w:color w:val="auto"/>
          <w:lang w:val="en-US" w:eastAsia="zh-CN"/>
        </w:rPr>
        <w:t xml:space="preserve">  </w:t>
      </w:r>
    </w:p>
    <w:p>
      <w:pPr>
        <w:spacing w:line="360" w:lineRule="auto"/>
        <w:ind w:left="-15" w:firstLine="240"/>
        <w:rPr>
          <w:color w:val="auto"/>
        </w:rPr>
      </w:pPr>
      <w:r>
        <w:rPr>
          <w:rFonts w:hint="eastAsia"/>
          <w:color w:val="auto"/>
          <w:lang w:eastAsia="zh-CN"/>
        </w:rPr>
        <w:t>项目</w:t>
      </w:r>
      <w:r>
        <w:rPr>
          <w:color w:val="auto"/>
        </w:rPr>
        <w:t>编号：</w:t>
      </w:r>
      <w:r>
        <w:rPr>
          <w:color w:val="auto"/>
          <w:u w:val="single" w:color="000000"/>
        </w:rPr>
        <w:t xml:space="preserve"> </w:t>
      </w:r>
      <w:r>
        <w:rPr>
          <w:rFonts w:hint="eastAsia"/>
          <w:color w:val="auto"/>
          <w:u w:val="single" w:color="000000"/>
          <w:lang w:eastAsia="zh-CN"/>
        </w:rPr>
        <w:t>HNZC2023-ZB-055</w:t>
      </w:r>
      <w:r>
        <w:rPr>
          <w:color w:val="auto"/>
          <w:u w:val="single" w:color="auto"/>
        </w:rPr>
        <w:t xml:space="preserve">     </w:t>
      </w:r>
      <w:r>
        <w:rPr>
          <w:color w:val="auto"/>
        </w:rPr>
        <w:t xml:space="preserve">          </w:t>
      </w:r>
    </w:p>
    <w:tbl>
      <w:tblPr>
        <w:tblStyle w:val="115"/>
        <w:tblpPr w:leftFromText="180" w:rightFromText="180" w:vertAnchor="text" w:horzAnchor="page" w:tblpX="1391" w:tblpY="429"/>
        <w:tblOverlap w:val="never"/>
        <w:tblW w:w="8520" w:type="dxa"/>
        <w:tblInd w:w="0" w:type="dxa"/>
        <w:tblLayout w:type="fixed"/>
        <w:tblCellMar>
          <w:top w:w="0" w:type="dxa"/>
          <w:left w:w="106" w:type="dxa"/>
          <w:bottom w:w="0" w:type="dxa"/>
          <w:right w:w="0" w:type="dxa"/>
        </w:tblCellMar>
      </w:tblPr>
      <w:tblGrid>
        <w:gridCol w:w="614"/>
        <w:gridCol w:w="1156"/>
        <w:gridCol w:w="1668"/>
        <w:gridCol w:w="1107"/>
        <w:gridCol w:w="1335"/>
        <w:gridCol w:w="945"/>
        <w:gridCol w:w="1123"/>
        <w:gridCol w:w="572"/>
      </w:tblGrid>
      <w:tr>
        <w:trPr>
          <w:trHeight w:val="1102" w:hRule="atLeast"/>
        </w:trPr>
        <w:tc>
          <w:tcPr>
            <w:tcW w:w="614"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68" w:firstLine="0"/>
              <w:jc w:val="center"/>
              <w:rPr>
                <w:color w:val="auto"/>
                <w:szCs w:val="22"/>
              </w:rPr>
            </w:pPr>
            <w:r>
              <w:rPr>
                <w:color w:val="auto"/>
                <w:szCs w:val="22"/>
              </w:rPr>
              <w:t>序号</w:t>
            </w:r>
          </w:p>
        </w:tc>
        <w:tc>
          <w:tcPr>
            <w:tcW w:w="1156"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68" w:firstLine="0"/>
              <w:jc w:val="center"/>
              <w:rPr>
                <w:rFonts w:ascii="Times New Roman" w:hAnsi="Times New Roman" w:cs="Times New Roman"/>
                <w:color w:val="auto"/>
                <w:szCs w:val="22"/>
              </w:rPr>
            </w:pPr>
            <w:r>
              <w:rPr>
                <w:rFonts w:hint="eastAsia" w:ascii="Times New Roman" w:hAnsi="Times New Roman" w:cs="Times New Roman"/>
                <w:color w:val="auto"/>
                <w:szCs w:val="22"/>
                <w:lang w:val="en-US" w:eastAsia="zh-CN"/>
              </w:rPr>
              <w:t>项目类别</w:t>
            </w:r>
          </w:p>
        </w:tc>
        <w:tc>
          <w:tcPr>
            <w:tcW w:w="1668"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68" w:firstLine="0"/>
              <w:jc w:val="center"/>
              <w:rPr>
                <w:rFonts w:hint="eastAsia" w:ascii="Times New Roman" w:hAnsi="Times New Roman" w:eastAsia="宋体" w:cs="Times New Roman"/>
                <w:color w:val="auto"/>
                <w:szCs w:val="22"/>
                <w:lang w:val="en-US" w:eastAsia="zh-CN"/>
              </w:rPr>
            </w:pPr>
            <w:r>
              <w:rPr>
                <w:rFonts w:hint="eastAsia" w:cs="Times New Roman"/>
                <w:color w:val="auto"/>
                <w:szCs w:val="22"/>
                <w:lang w:val="en-US" w:eastAsia="zh-CN"/>
              </w:rPr>
              <w:t>品牌、规格、型号</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68" w:firstLine="0"/>
              <w:jc w:val="center"/>
              <w:rPr>
                <w:rFonts w:ascii="Times New Roman" w:hAnsi="Times New Roman" w:cs="Times New Roman"/>
                <w:color w:val="auto"/>
                <w:szCs w:val="22"/>
              </w:rPr>
            </w:pPr>
            <w:r>
              <w:rPr>
                <w:rFonts w:hint="eastAsia" w:ascii="Times New Roman" w:hAnsi="Times New Roman" w:cs="Times New Roman"/>
                <w:color w:val="auto"/>
                <w:szCs w:val="22"/>
                <w:lang w:val="en-US" w:eastAsia="zh-CN"/>
              </w:rPr>
              <w:t>数量</w:t>
            </w:r>
          </w:p>
        </w:tc>
        <w:tc>
          <w:tcPr>
            <w:tcW w:w="133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68" w:firstLine="0"/>
              <w:jc w:val="center"/>
              <w:rPr>
                <w:rFonts w:hint="eastAsia" w:ascii="Times New Roman" w:hAnsi="Times New Roman" w:cs="Times New Roman"/>
                <w:color w:val="auto"/>
                <w:szCs w:val="22"/>
                <w:lang w:eastAsia="zh-CN"/>
              </w:rPr>
            </w:pPr>
            <w:r>
              <w:rPr>
                <w:rFonts w:ascii="Times New Roman" w:hAnsi="Times New Roman" w:cs="Times New Roman"/>
                <w:color w:val="auto"/>
                <w:szCs w:val="22"/>
              </w:rPr>
              <w:t>单位</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68" w:firstLine="0"/>
              <w:jc w:val="center"/>
              <w:rPr>
                <w:rFonts w:ascii="Times New Roman" w:hAnsi="Times New Roman" w:cs="Times New Roman"/>
                <w:color w:val="auto"/>
                <w:szCs w:val="22"/>
              </w:rPr>
            </w:pPr>
            <w:r>
              <w:rPr>
                <w:rFonts w:ascii="Times New Roman" w:hAnsi="Times New Roman" w:cs="Times New Roman"/>
                <w:color w:val="auto"/>
                <w:szCs w:val="22"/>
              </w:rPr>
              <w:t xml:space="preserve">单价 </w:t>
            </w:r>
            <w:r>
              <w:rPr>
                <w:rFonts w:hint="eastAsia" w:ascii="Times New Roman" w:hAnsi="Times New Roman" w:cs="Times New Roman"/>
                <w:color w:val="auto"/>
                <w:szCs w:val="22"/>
                <w:lang w:eastAsia="zh-CN"/>
              </w:rPr>
              <w:t>（元）</w:t>
            </w:r>
          </w:p>
        </w:tc>
        <w:tc>
          <w:tcPr>
            <w:tcW w:w="1123"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68" w:firstLine="0"/>
              <w:jc w:val="center"/>
              <w:rPr>
                <w:rFonts w:ascii="Times New Roman" w:hAnsi="Times New Roman" w:cs="Times New Roman"/>
                <w:color w:val="auto"/>
                <w:szCs w:val="22"/>
              </w:rPr>
            </w:pPr>
            <w:r>
              <w:rPr>
                <w:rFonts w:ascii="Times New Roman" w:hAnsi="Times New Roman" w:cs="Times New Roman"/>
                <w:color w:val="auto"/>
                <w:szCs w:val="22"/>
              </w:rPr>
              <w:t>总价</w:t>
            </w:r>
            <w:r>
              <w:rPr>
                <w:rFonts w:hint="eastAsia" w:ascii="Times New Roman" w:hAnsi="Times New Roman" w:cs="Times New Roman"/>
                <w:color w:val="auto"/>
                <w:szCs w:val="22"/>
                <w:lang w:eastAsia="zh-CN"/>
              </w:rPr>
              <w:t>（元）</w:t>
            </w:r>
          </w:p>
        </w:tc>
        <w:tc>
          <w:tcPr>
            <w:tcW w:w="572"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68" w:firstLine="0"/>
              <w:jc w:val="center"/>
              <w:rPr>
                <w:rFonts w:ascii="Times New Roman" w:hAnsi="Times New Roman" w:cs="Times New Roman"/>
                <w:color w:val="auto"/>
                <w:szCs w:val="22"/>
              </w:rPr>
            </w:pPr>
            <w:r>
              <w:rPr>
                <w:rFonts w:ascii="Times New Roman" w:hAnsi="Times New Roman" w:cs="Times New Roman"/>
                <w:color w:val="auto"/>
                <w:szCs w:val="22"/>
              </w:rPr>
              <w:t>备注</w:t>
            </w:r>
          </w:p>
        </w:tc>
      </w:tr>
      <w:tr>
        <w:tblPrEx>
          <w:tblCellMar>
            <w:top w:w="0" w:type="dxa"/>
            <w:left w:w="106" w:type="dxa"/>
            <w:bottom w:w="0" w:type="dxa"/>
            <w:right w:w="0" w:type="dxa"/>
          </w:tblCellMar>
        </w:tblPrEx>
        <w:trPr>
          <w:trHeight w:val="781" w:hRule="atLeast"/>
        </w:trPr>
        <w:tc>
          <w:tcPr>
            <w:tcW w:w="614"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color w:val="auto"/>
              </w:rPr>
            </w:pPr>
            <w:r>
              <w:rPr>
                <w:color w:val="auto"/>
              </w:rPr>
              <w:t xml:space="preserve"> </w:t>
            </w:r>
          </w:p>
        </w:tc>
        <w:tc>
          <w:tcPr>
            <w:tcW w:w="1156"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0" w:firstLine="0"/>
              <w:rPr>
                <w:color w:val="auto"/>
              </w:rPr>
            </w:pPr>
            <w:r>
              <w:rPr>
                <w:color w:val="auto"/>
              </w:rPr>
              <w:t xml:space="preserve"> </w:t>
            </w:r>
          </w:p>
        </w:tc>
        <w:tc>
          <w:tcPr>
            <w:tcW w:w="1668"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color w:val="auto"/>
              </w:rPr>
            </w:pPr>
            <w:r>
              <w:rPr>
                <w:color w:val="auto"/>
              </w:rPr>
              <w:t xml:space="preserve"> </w:t>
            </w:r>
          </w:p>
          <w:p>
            <w:pPr>
              <w:spacing w:after="0" w:line="360" w:lineRule="auto"/>
              <w:ind w:left="2" w:right="0" w:firstLine="0"/>
              <w:rPr>
                <w:color w:val="auto"/>
              </w:rPr>
            </w:pPr>
            <w:r>
              <w:rPr>
                <w:color w:val="auto"/>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color w:val="auto"/>
              </w:rPr>
            </w:pPr>
            <w:r>
              <w:rPr>
                <w:color w:val="auto"/>
              </w:rPr>
              <w:t xml:space="preserve"> </w:t>
            </w:r>
          </w:p>
        </w:tc>
        <w:tc>
          <w:tcPr>
            <w:tcW w:w="133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color w:val="auto"/>
              </w:rPr>
            </w:pPr>
            <w:r>
              <w:rPr>
                <w:color w:val="auto"/>
              </w:rPr>
              <w:t xml:space="preserve"> </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color w:val="auto"/>
              </w:rPr>
            </w:pPr>
          </w:p>
        </w:tc>
        <w:tc>
          <w:tcPr>
            <w:tcW w:w="1123"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color w:val="auto"/>
              </w:rPr>
            </w:pPr>
            <w:r>
              <w:rPr>
                <w:color w:val="auto"/>
              </w:rPr>
              <w:t xml:space="preserve"> </w:t>
            </w:r>
          </w:p>
        </w:tc>
        <w:tc>
          <w:tcPr>
            <w:tcW w:w="572"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69" w:firstLine="0"/>
              <w:jc w:val="both"/>
              <w:rPr>
                <w:color w:val="auto"/>
              </w:rPr>
            </w:pPr>
            <w:r>
              <w:rPr>
                <w:color w:val="auto"/>
              </w:rPr>
              <w:t xml:space="preserve">      </w:t>
            </w:r>
          </w:p>
        </w:tc>
      </w:tr>
      <w:tr>
        <w:tblPrEx>
          <w:tblCellMar>
            <w:top w:w="0" w:type="dxa"/>
            <w:left w:w="106" w:type="dxa"/>
            <w:bottom w:w="0" w:type="dxa"/>
            <w:right w:w="0" w:type="dxa"/>
          </w:tblCellMar>
        </w:tblPrEx>
        <w:trPr>
          <w:trHeight w:val="781" w:hRule="atLeast"/>
        </w:trPr>
        <w:tc>
          <w:tcPr>
            <w:tcW w:w="614"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color w:val="auto"/>
              </w:rPr>
            </w:pPr>
            <w:r>
              <w:rPr>
                <w:color w:val="auto"/>
              </w:rPr>
              <w:t xml:space="preserve"> </w:t>
            </w:r>
          </w:p>
        </w:tc>
        <w:tc>
          <w:tcPr>
            <w:tcW w:w="1156"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0" w:firstLine="0"/>
              <w:rPr>
                <w:color w:val="auto"/>
              </w:rPr>
            </w:pPr>
            <w:r>
              <w:rPr>
                <w:color w:val="auto"/>
              </w:rPr>
              <w:t xml:space="preserve"> </w:t>
            </w:r>
          </w:p>
        </w:tc>
        <w:tc>
          <w:tcPr>
            <w:tcW w:w="1668"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color w:val="auto"/>
              </w:rPr>
            </w:pPr>
            <w:r>
              <w:rPr>
                <w:color w:val="auto"/>
              </w:rPr>
              <w:t xml:space="preserve"> </w:t>
            </w:r>
          </w:p>
          <w:p>
            <w:pPr>
              <w:spacing w:after="0" w:line="360" w:lineRule="auto"/>
              <w:ind w:left="2" w:right="0" w:firstLine="0"/>
              <w:rPr>
                <w:color w:val="auto"/>
              </w:rPr>
            </w:pPr>
            <w:r>
              <w:rPr>
                <w:color w:val="auto"/>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color w:val="auto"/>
              </w:rPr>
            </w:pPr>
            <w:r>
              <w:rPr>
                <w:color w:val="auto"/>
              </w:rPr>
              <w:t xml:space="preserve"> </w:t>
            </w:r>
          </w:p>
        </w:tc>
        <w:tc>
          <w:tcPr>
            <w:tcW w:w="133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color w:val="auto"/>
              </w:rPr>
            </w:pPr>
            <w:r>
              <w:rPr>
                <w:color w:val="auto"/>
              </w:rPr>
              <w:t xml:space="preserve"> </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color w:val="auto"/>
              </w:rPr>
            </w:pPr>
          </w:p>
        </w:tc>
        <w:tc>
          <w:tcPr>
            <w:tcW w:w="1123"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color w:val="auto"/>
              </w:rPr>
            </w:pPr>
            <w:r>
              <w:rPr>
                <w:color w:val="auto"/>
              </w:rPr>
              <w:t xml:space="preserve"> </w:t>
            </w:r>
          </w:p>
        </w:tc>
        <w:tc>
          <w:tcPr>
            <w:tcW w:w="572"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color w:val="auto"/>
              </w:rPr>
            </w:pPr>
            <w:r>
              <w:rPr>
                <w:color w:val="auto"/>
              </w:rPr>
              <w:t xml:space="preserve"> </w:t>
            </w:r>
          </w:p>
        </w:tc>
      </w:tr>
      <w:tr>
        <w:tblPrEx>
          <w:tblCellMar>
            <w:top w:w="0" w:type="dxa"/>
            <w:left w:w="106" w:type="dxa"/>
            <w:bottom w:w="0" w:type="dxa"/>
            <w:right w:w="0" w:type="dxa"/>
          </w:tblCellMar>
        </w:tblPrEx>
        <w:trPr>
          <w:trHeight w:val="662" w:hRule="atLeast"/>
        </w:trPr>
        <w:tc>
          <w:tcPr>
            <w:tcW w:w="614"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color w:val="auto"/>
              </w:rPr>
            </w:pPr>
            <w:r>
              <w:rPr>
                <w:color w:val="auto"/>
              </w:rPr>
              <w:t xml:space="preserve"> .....</w:t>
            </w:r>
          </w:p>
        </w:tc>
        <w:tc>
          <w:tcPr>
            <w:tcW w:w="2824" w:type="dxa"/>
            <w:gridSpan w:val="2"/>
            <w:tcBorders>
              <w:top w:val="single" w:color="000000" w:sz="4" w:space="0"/>
              <w:left w:val="single" w:color="000000" w:sz="4" w:space="0"/>
              <w:bottom w:val="single" w:color="000000" w:sz="4" w:space="0"/>
              <w:right w:val="nil"/>
            </w:tcBorders>
            <w:vAlign w:val="center"/>
          </w:tcPr>
          <w:p>
            <w:pPr>
              <w:spacing w:after="0" w:line="360" w:lineRule="auto"/>
              <w:ind w:left="0" w:right="324" w:firstLine="0"/>
              <w:jc w:val="right"/>
              <w:rPr>
                <w:color w:val="auto"/>
              </w:rPr>
            </w:pPr>
            <w:r>
              <w:rPr>
                <w:color w:val="auto"/>
              </w:rPr>
              <w:t xml:space="preserve">总价 </w:t>
            </w:r>
          </w:p>
        </w:tc>
        <w:tc>
          <w:tcPr>
            <w:tcW w:w="1107" w:type="dxa"/>
            <w:tcBorders>
              <w:top w:val="single" w:color="000000" w:sz="4" w:space="0"/>
              <w:left w:val="nil"/>
              <w:bottom w:val="single" w:color="000000" w:sz="4" w:space="0"/>
              <w:right w:val="nil"/>
            </w:tcBorders>
          </w:tcPr>
          <w:p>
            <w:pPr>
              <w:spacing w:after="160" w:line="360" w:lineRule="auto"/>
              <w:ind w:left="0" w:right="0" w:firstLine="0"/>
              <w:rPr>
                <w:color w:val="auto"/>
              </w:rPr>
            </w:pPr>
          </w:p>
        </w:tc>
        <w:tc>
          <w:tcPr>
            <w:tcW w:w="1335" w:type="dxa"/>
            <w:tcBorders>
              <w:top w:val="single" w:color="000000" w:sz="4" w:space="0"/>
              <w:left w:val="nil"/>
              <w:bottom w:val="single" w:color="000000" w:sz="4" w:space="0"/>
              <w:right w:val="single" w:color="000000" w:sz="4" w:space="0"/>
            </w:tcBorders>
          </w:tcPr>
          <w:p>
            <w:pPr>
              <w:spacing w:after="160" w:line="360" w:lineRule="auto"/>
              <w:ind w:left="0" w:right="0" w:firstLine="0"/>
              <w:rPr>
                <w:color w:val="auto"/>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after="160" w:line="360" w:lineRule="auto"/>
              <w:ind w:left="0" w:right="0" w:firstLine="0"/>
              <w:rPr>
                <w:color w:val="auto"/>
              </w:rPr>
            </w:pPr>
          </w:p>
        </w:tc>
        <w:tc>
          <w:tcPr>
            <w:tcW w:w="1123"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color w:val="auto"/>
              </w:rPr>
            </w:pPr>
            <w:r>
              <w:rPr>
                <w:color w:val="auto"/>
              </w:rPr>
              <w:t xml:space="preserve"> </w:t>
            </w:r>
          </w:p>
        </w:tc>
        <w:tc>
          <w:tcPr>
            <w:tcW w:w="572"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color w:val="auto"/>
              </w:rPr>
            </w:pPr>
            <w:r>
              <w:rPr>
                <w:color w:val="auto"/>
              </w:rPr>
              <w:t xml:space="preserve"> </w:t>
            </w:r>
          </w:p>
        </w:tc>
      </w:tr>
    </w:tbl>
    <w:p>
      <w:pPr>
        <w:spacing w:after="28" w:line="360" w:lineRule="auto"/>
        <w:ind w:left="425" w:right="0" w:firstLine="0"/>
        <w:rPr>
          <w:color w:val="auto"/>
        </w:rPr>
      </w:pPr>
      <w:r>
        <w:rPr>
          <w:color w:val="auto"/>
        </w:rPr>
        <w:t xml:space="preserve"> </w:t>
      </w:r>
    </w:p>
    <w:p>
      <w:pPr>
        <w:spacing w:after="35" w:line="360" w:lineRule="auto"/>
        <w:ind w:left="435" w:right="0"/>
        <w:rPr>
          <w:color w:val="auto"/>
        </w:rPr>
      </w:pPr>
    </w:p>
    <w:p>
      <w:pPr>
        <w:pStyle w:val="9"/>
        <w:spacing w:line="360" w:lineRule="auto"/>
        <w:rPr>
          <w:color w:val="auto"/>
        </w:rPr>
      </w:pPr>
    </w:p>
    <w:p>
      <w:pPr>
        <w:spacing w:after="28" w:line="360" w:lineRule="auto"/>
        <w:ind w:left="427" w:right="0" w:firstLine="0"/>
        <w:rPr>
          <w:color w:val="auto"/>
        </w:rPr>
      </w:pPr>
      <w:r>
        <w:rPr>
          <w:rFonts w:hint="eastAsia" w:hAnsi="宋体" w:cs="宋体"/>
          <w:color w:val="auto"/>
          <w:spacing w:val="8"/>
          <w:sz w:val="24"/>
          <w:szCs w:val="24"/>
        </w:rPr>
        <w:t>供应商名称（公章）</w:t>
      </w:r>
      <w:r>
        <w:rPr>
          <w:color w:val="auto"/>
        </w:rPr>
        <w:t xml:space="preserve"> </w:t>
      </w:r>
      <w:r>
        <w:rPr>
          <w:rFonts w:hint="eastAsia" w:hAnsi="宋体" w:cs="宋体"/>
          <w:color w:val="auto"/>
          <w:spacing w:val="8"/>
          <w:sz w:val="24"/>
          <w:szCs w:val="24"/>
        </w:rPr>
        <w:t>：</w:t>
      </w:r>
      <w:r>
        <w:rPr>
          <w:rFonts w:hint="eastAsia" w:hAnsi="宋体" w:cs="宋体"/>
          <w:color w:val="auto"/>
          <w:spacing w:val="8"/>
          <w:sz w:val="24"/>
          <w:szCs w:val="24"/>
          <w:u w:val="single"/>
        </w:rPr>
        <w:t xml:space="preserve">             </w:t>
      </w:r>
      <w:r>
        <w:rPr>
          <w:rFonts w:hint="eastAsia" w:hAnsi="宋体" w:cs="宋体"/>
          <w:color w:val="auto"/>
          <w:spacing w:val="8"/>
          <w:sz w:val="24"/>
          <w:szCs w:val="24"/>
          <w:u w:val="single"/>
          <w:lang w:val="en-US" w:eastAsia="zh-CN"/>
        </w:rPr>
        <w:t xml:space="preserve"> </w:t>
      </w:r>
      <w:r>
        <w:rPr>
          <w:rFonts w:hint="eastAsia" w:hAnsi="宋体" w:cs="宋体"/>
          <w:color w:val="auto"/>
          <w:spacing w:val="8"/>
          <w:sz w:val="24"/>
          <w:szCs w:val="24"/>
          <w:u w:val="single"/>
        </w:rPr>
        <w:t xml:space="preserve">  </w:t>
      </w:r>
    </w:p>
    <w:p>
      <w:pPr>
        <w:spacing w:after="37" w:line="360" w:lineRule="auto"/>
        <w:ind w:left="435" w:right="0"/>
        <w:rPr>
          <w:color w:val="auto"/>
        </w:rPr>
      </w:pPr>
      <w:r>
        <w:rPr>
          <w:color w:val="auto"/>
        </w:rPr>
        <w:t>法定代表人（或</w:t>
      </w:r>
      <w:r>
        <w:rPr>
          <w:rFonts w:hint="eastAsia"/>
          <w:color w:val="auto"/>
          <w:lang w:eastAsia="zh-CN"/>
        </w:rPr>
        <w:t>被授权代表</w:t>
      </w:r>
      <w:r>
        <w:rPr>
          <w:color w:val="auto"/>
        </w:rPr>
        <w:t>）：</w:t>
      </w:r>
      <w:r>
        <w:rPr>
          <w:color w:val="auto"/>
          <w:u w:val="single" w:color="000000"/>
        </w:rPr>
        <w:t>（签字</w:t>
      </w:r>
      <w:r>
        <w:rPr>
          <w:rFonts w:hint="eastAsia"/>
          <w:color w:val="auto"/>
          <w:u w:val="single" w:color="000000"/>
        </w:rPr>
        <w:t>或盖章</w:t>
      </w:r>
      <w:r>
        <w:rPr>
          <w:color w:val="auto"/>
          <w:u w:val="single" w:color="000000"/>
        </w:rPr>
        <w:t>）</w:t>
      </w:r>
      <w:r>
        <w:rPr>
          <w:rFonts w:hint="eastAsia"/>
          <w:color w:val="auto"/>
          <w:u w:val="single" w:color="000000"/>
          <w:lang w:val="en-US" w:eastAsia="zh-CN"/>
        </w:rPr>
        <w:t xml:space="preserve">  </w:t>
      </w:r>
      <w:r>
        <w:rPr>
          <w:color w:val="auto"/>
          <w:u w:val="single" w:color="000000"/>
        </w:rPr>
        <w:t xml:space="preserve"> </w:t>
      </w:r>
      <w:r>
        <w:rPr>
          <w:color w:val="auto"/>
        </w:rPr>
        <w:t xml:space="preserve"> </w:t>
      </w:r>
    </w:p>
    <w:p>
      <w:pPr>
        <w:spacing w:after="134" w:line="360" w:lineRule="auto"/>
        <w:ind w:left="0" w:right="0" w:firstLine="0"/>
        <w:rPr>
          <w:color w:val="auto"/>
        </w:rPr>
      </w:pPr>
      <w:r>
        <w:rPr>
          <w:color w:val="auto"/>
        </w:rPr>
        <w:t xml:space="preserve"> </w:t>
      </w:r>
    </w:p>
    <w:p>
      <w:pPr>
        <w:spacing w:after="83" w:line="360" w:lineRule="auto"/>
        <w:ind w:left="490" w:right="0"/>
        <w:rPr>
          <w:color w:val="auto"/>
        </w:rPr>
      </w:pPr>
      <w:r>
        <w:rPr>
          <w:color w:val="auto"/>
        </w:rPr>
        <w:t>日期：</w:t>
      </w:r>
      <w:r>
        <w:rPr>
          <w:color w:val="auto"/>
          <w:u w:val="single" w:color="000000"/>
        </w:rPr>
        <w:t xml:space="preserve">  年  月  日</w:t>
      </w:r>
      <w:r>
        <w:rPr>
          <w:color w:val="auto"/>
        </w:rPr>
        <w:t xml:space="preserve"> </w:t>
      </w:r>
    </w:p>
    <w:p>
      <w:pPr>
        <w:spacing w:after="103" w:line="360" w:lineRule="auto"/>
        <w:ind w:left="0" w:right="0" w:firstLine="0"/>
        <w:rPr>
          <w:color w:val="auto"/>
        </w:rPr>
      </w:pPr>
      <w:r>
        <w:rPr>
          <w:color w:val="auto"/>
          <w:sz w:val="21"/>
        </w:rPr>
        <w:t xml:space="preserve"> </w:t>
      </w:r>
    </w:p>
    <w:p>
      <w:pPr>
        <w:spacing w:line="360" w:lineRule="auto"/>
        <w:ind w:left="-15" w:right="0" w:firstLine="422"/>
        <w:rPr>
          <w:color w:val="auto"/>
        </w:rPr>
      </w:pPr>
      <w:r>
        <w:rPr>
          <w:color w:val="auto"/>
          <w:sz w:val="21"/>
        </w:rPr>
        <w:t>注:</w:t>
      </w:r>
      <w:r>
        <w:rPr>
          <w:color w:val="auto"/>
        </w:rPr>
        <w:t xml:space="preserve">①投标人必须按“分项报价明细表”的格式详细报出投标总价的各个组成部分的报价，否则作无效投标处理。 </w:t>
      </w:r>
    </w:p>
    <w:p>
      <w:pPr>
        <w:spacing w:line="360" w:lineRule="auto"/>
        <w:ind w:left="-15" w:right="0" w:firstLine="480"/>
        <w:rPr>
          <w:color w:val="auto"/>
        </w:rPr>
      </w:pPr>
      <w:r>
        <w:rPr>
          <w:color w:val="auto"/>
        </w:rPr>
        <w:t xml:space="preserve">②“分项报价明细表”各分项报价合计应当与“开标一览表”报价合计相等。 </w:t>
      </w:r>
    </w:p>
    <w:p>
      <w:pPr>
        <w:spacing w:line="360" w:lineRule="auto"/>
        <w:ind w:left="-15" w:right="0" w:firstLine="480"/>
        <w:rPr>
          <w:rFonts w:hint="eastAsia" w:ascii="Times New Roman" w:hAnsi="Times New Roman" w:cs="Times New Roman"/>
          <w:color w:val="auto"/>
          <w:szCs w:val="22"/>
        </w:rPr>
      </w:pPr>
      <w:r>
        <w:rPr>
          <w:rFonts w:hint="default" w:ascii="Times New Roman" w:hAnsi="Times New Roman" w:cs="Times New Roman"/>
          <w:color w:val="auto"/>
          <w:szCs w:val="22"/>
        </w:rPr>
        <w:t>③</w:t>
      </w:r>
      <w:r>
        <w:rPr>
          <w:rFonts w:hint="eastAsia" w:ascii="Times New Roman" w:hAnsi="Times New Roman" w:cs="Times New Roman"/>
          <w:color w:val="auto"/>
          <w:szCs w:val="22"/>
          <w:lang w:eastAsia="zh-CN"/>
        </w:rPr>
        <w:t>本表可根据实际需要自行调整</w:t>
      </w:r>
      <w:r>
        <w:rPr>
          <w:rFonts w:hint="eastAsia" w:ascii="Times New Roman" w:hAnsi="Times New Roman" w:cs="Times New Roman"/>
          <w:color w:val="auto"/>
          <w:szCs w:val="22"/>
        </w:rPr>
        <w:t>。</w:t>
      </w:r>
    </w:p>
    <w:p>
      <w:pPr>
        <w:spacing w:line="360" w:lineRule="auto"/>
        <w:ind w:left="-15" w:right="0" w:firstLine="480"/>
        <w:rPr>
          <w:color w:val="auto"/>
          <w:szCs w:val="22"/>
          <w:lang w:val="en-US" w:eastAsia="zh-CN"/>
        </w:rPr>
      </w:pPr>
    </w:p>
    <w:p>
      <w:pPr>
        <w:spacing w:line="360" w:lineRule="auto"/>
        <w:ind w:left="-15" w:right="0" w:firstLine="480"/>
        <w:rPr>
          <w:rFonts w:ascii="宋体" w:hAnsi="宋体"/>
          <w:b/>
          <w:color w:val="auto"/>
          <w:sz w:val="32"/>
          <w:szCs w:val="32"/>
        </w:rPr>
      </w:pPr>
      <w:r>
        <w:rPr>
          <w:color w:val="auto"/>
          <w:szCs w:val="22"/>
        </w:rPr>
        <w:t xml:space="preserve"> </w:t>
      </w:r>
    </w:p>
    <w:p>
      <w:pPr>
        <w:keepNext/>
        <w:keepLines/>
        <w:widowControl/>
        <w:spacing w:line="360" w:lineRule="auto"/>
        <w:jc w:val="center"/>
        <w:outlineLvl w:val="0"/>
        <w:rPr>
          <w:color w:val="auto"/>
          <w:sz w:val="24"/>
          <w:u w:val="single"/>
        </w:rPr>
      </w:pPr>
      <w:bookmarkStart w:id="96" w:name="_Toc451180787"/>
      <w:r>
        <w:rPr>
          <w:rFonts w:hint="eastAsia" w:hAnsi="宋体"/>
          <w:b/>
          <w:color w:val="auto"/>
          <w:sz w:val="30"/>
          <w:szCs w:val="30"/>
        </w:rPr>
        <w:t>4、法定代表人身份证明书</w:t>
      </w:r>
      <w:bookmarkEnd w:id="96"/>
    </w:p>
    <w:p>
      <w:pPr>
        <w:widowControl/>
        <w:spacing w:line="360" w:lineRule="auto"/>
        <w:rPr>
          <w:rFonts w:hAnsi="宋体"/>
          <w:color w:val="auto"/>
          <w:sz w:val="28"/>
          <w:szCs w:val="28"/>
        </w:rPr>
      </w:pPr>
    </w:p>
    <w:p>
      <w:pPr>
        <w:widowControl/>
        <w:spacing w:line="360" w:lineRule="auto"/>
        <w:rPr>
          <w:color w:val="auto"/>
          <w:szCs w:val="21"/>
          <w:u w:val="single"/>
        </w:rPr>
      </w:pPr>
      <w:r>
        <w:rPr>
          <w:rFonts w:hAnsi="宋体"/>
          <w:color w:val="auto"/>
          <w:szCs w:val="21"/>
        </w:rPr>
        <w:t>单位名称：</w:t>
      </w:r>
      <w:r>
        <w:rPr>
          <w:color w:val="auto"/>
          <w:szCs w:val="21"/>
          <w:u w:val="single"/>
        </w:rPr>
        <w:t xml:space="preserve">                                  </w:t>
      </w:r>
    </w:p>
    <w:p>
      <w:pPr>
        <w:widowControl/>
        <w:spacing w:line="360" w:lineRule="auto"/>
        <w:rPr>
          <w:color w:val="auto"/>
          <w:szCs w:val="21"/>
          <w:u w:val="single"/>
        </w:rPr>
      </w:pPr>
      <w:r>
        <w:rPr>
          <w:rFonts w:hAnsi="宋体"/>
          <w:color w:val="auto"/>
          <w:szCs w:val="21"/>
        </w:rPr>
        <w:t>单位性质：</w:t>
      </w:r>
      <w:r>
        <w:rPr>
          <w:color w:val="auto"/>
          <w:szCs w:val="21"/>
          <w:u w:val="single"/>
        </w:rPr>
        <w:t xml:space="preserve">                                  </w:t>
      </w:r>
    </w:p>
    <w:p>
      <w:pPr>
        <w:widowControl/>
        <w:spacing w:line="360" w:lineRule="auto"/>
        <w:rPr>
          <w:color w:val="auto"/>
          <w:szCs w:val="21"/>
          <w:u w:val="single"/>
        </w:rPr>
      </w:pPr>
      <w:r>
        <w:rPr>
          <w:rFonts w:hAnsi="宋体"/>
          <w:color w:val="auto"/>
          <w:szCs w:val="21"/>
        </w:rPr>
        <w:t>地</w:t>
      </w:r>
      <w:r>
        <w:rPr>
          <w:color w:val="auto"/>
          <w:szCs w:val="21"/>
        </w:rPr>
        <w:t xml:space="preserve">    </w:t>
      </w:r>
      <w:r>
        <w:rPr>
          <w:rFonts w:hAnsi="宋体"/>
          <w:color w:val="auto"/>
          <w:szCs w:val="21"/>
        </w:rPr>
        <w:t>址：</w:t>
      </w:r>
      <w:r>
        <w:rPr>
          <w:color w:val="auto"/>
          <w:szCs w:val="21"/>
          <w:u w:val="single"/>
        </w:rPr>
        <w:t xml:space="preserve">                                  </w:t>
      </w:r>
    </w:p>
    <w:p>
      <w:pPr>
        <w:widowControl/>
        <w:spacing w:line="360" w:lineRule="auto"/>
        <w:rPr>
          <w:color w:val="auto"/>
          <w:szCs w:val="21"/>
          <w:u w:val="single"/>
        </w:rPr>
      </w:pPr>
      <w:r>
        <w:rPr>
          <w:rFonts w:hAnsi="宋体"/>
          <w:color w:val="auto"/>
          <w:szCs w:val="21"/>
        </w:rPr>
        <w:t>成立时间：</w:t>
      </w:r>
      <w:r>
        <w:rPr>
          <w:color w:val="auto"/>
          <w:szCs w:val="21"/>
          <w:u w:val="single"/>
        </w:rPr>
        <w:t xml:space="preserve">      </w:t>
      </w:r>
      <w:r>
        <w:rPr>
          <w:rFonts w:hAnsi="宋体"/>
          <w:color w:val="auto"/>
          <w:szCs w:val="21"/>
        </w:rPr>
        <w:t>年</w:t>
      </w:r>
      <w:r>
        <w:rPr>
          <w:color w:val="auto"/>
          <w:szCs w:val="21"/>
          <w:u w:val="single"/>
        </w:rPr>
        <w:t xml:space="preserve">    </w:t>
      </w:r>
      <w:r>
        <w:rPr>
          <w:rFonts w:hAnsi="宋体"/>
          <w:color w:val="auto"/>
          <w:szCs w:val="21"/>
        </w:rPr>
        <w:t>月</w:t>
      </w:r>
      <w:r>
        <w:rPr>
          <w:color w:val="auto"/>
          <w:szCs w:val="21"/>
          <w:u w:val="single"/>
        </w:rPr>
        <w:t xml:space="preserve">  </w:t>
      </w:r>
      <w:r>
        <w:rPr>
          <w:rFonts w:hint="eastAsia"/>
          <w:color w:val="auto"/>
          <w:szCs w:val="21"/>
          <w:u w:val="single"/>
        </w:rPr>
        <w:t xml:space="preserve"> </w:t>
      </w:r>
      <w:r>
        <w:rPr>
          <w:color w:val="auto"/>
          <w:szCs w:val="21"/>
          <w:u w:val="single"/>
        </w:rPr>
        <w:t xml:space="preserve">  </w:t>
      </w:r>
      <w:r>
        <w:rPr>
          <w:rFonts w:hAnsi="宋体"/>
          <w:color w:val="auto"/>
          <w:szCs w:val="21"/>
        </w:rPr>
        <w:t>日</w:t>
      </w:r>
    </w:p>
    <w:p>
      <w:pPr>
        <w:widowControl/>
        <w:spacing w:line="360" w:lineRule="auto"/>
        <w:rPr>
          <w:color w:val="auto"/>
          <w:szCs w:val="21"/>
          <w:u w:val="single"/>
        </w:rPr>
      </w:pPr>
      <w:r>
        <w:rPr>
          <w:rFonts w:hAnsi="宋体"/>
          <w:color w:val="auto"/>
          <w:szCs w:val="21"/>
        </w:rPr>
        <w:t>经营期限：</w:t>
      </w:r>
      <w:r>
        <w:rPr>
          <w:color w:val="auto"/>
          <w:szCs w:val="21"/>
          <w:u w:val="single"/>
        </w:rPr>
        <w:t xml:space="preserve">               </w:t>
      </w:r>
      <w:r>
        <w:rPr>
          <w:color w:val="auto"/>
          <w:szCs w:val="21"/>
        </w:rPr>
        <w:t xml:space="preserve"> </w:t>
      </w:r>
    </w:p>
    <w:p>
      <w:pPr>
        <w:widowControl/>
        <w:spacing w:line="360" w:lineRule="auto"/>
        <w:rPr>
          <w:color w:val="auto"/>
          <w:szCs w:val="21"/>
          <w:u w:val="single"/>
        </w:rPr>
      </w:pPr>
      <w:r>
        <w:rPr>
          <w:rFonts w:hAnsi="宋体"/>
          <w:color w:val="auto"/>
          <w:szCs w:val="21"/>
        </w:rPr>
        <w:t>姓</w:t>
      </w:r>
      <w:r>
        <w:rPr>
          <w:color w:val="auto"/>
          <w:szCs w:val="21"/>
        </w:rPr>
        <w:t xml:space="preserve">    </w:t>
      </w:r>
      <w:r>
        <w:rPr>
          <w:rFonts w:hAnsi="宋体"/>
          <w:color w:val="auto"/>
          <w:szCs w:val="21"/>
        </w:rPr>
        <w:t>名：</w:t>
      </w:r>
      <w:r>
        <w:rPr>
          <w:color w:val="auto"/>
          <w:szCs w:val="21"/>
          <w:u w:val="single"/>
        </w:rPr>
        <w:t xml:space="preserve">       </w:t>
      </w:r>
      <w:r>
        <w:rPr>
          <w:rFonts w:hint="eastAsia"/>
          <w:color w:val="auto"/>
          <w:szCs w:val="21"/>
          <w:u w:val="single"/>
        </w:rPr>
        <w:t xml:space="preserve"> </w:t>
      </w:r>
      <w:r>
        <w:rPr>
          <w:color w:val="auto"/>
          <w:szCs w:val="21"/>
          <w:u w:val="single"/>
        </w:rPr>
        <w:t xml:space="preserve">   </w:t>
      </w:r>
      <w:r>
        <w:rPr>
          <w:rFonts w:hAnsi="宋体"/>
          <w:color w:val="auto"/>
          <w:szCs w:val="21"/>
        </w:rPr>
        <w:t>性别：</w:t>
      </w:r>
      <w:r>
        <w:rPr>
          <w:color w:val="auto"/>
          <w:szCs w:val="21"/>
          <w:u w:val="single"/>
        </w:rPr>
        <w:t xml:space="preserve">   </w:t>
      </w:r>
      <w:r>
        <w:rPr>
          <w:rFonts w:hint="eastAsia"/>
          <w:color w:val="auto"/>
          <w:szCs w:val="21"/>
          <w:u w:val="single"/>
        </w:rPr>
        <w:t xml:space="preserve">  </w:t>
      </w:r>
      <w:r>
        <w:rPr>
          <w:color w:val="auto"/>
          <w:szCs w:val="21"/>
          <w:u w:val="single"/>
        </w:rPr>
        <w:t xml:space="preserve">    </w:t>
      </w:r>
      <w:r>
        <w:rPr>
          <w:rFonts w:hAnsi="宋体"/>
          <w:color w:val="auto"/>
          <w:szCs w:val="21"/>
        </w:rPr>
        <w:t>年龄：</w:t>
      </w:r>
      <w:r>
        <w:rPr>
          <w:color w:val="auto"/>
          <w:szCs w:val="21"/>
          <w:u w:val="single"/>
        </w:rPr>
        <w:t xml:space="preserve">      </w:t>
      </w:r>
      <w:r>
        <w:rPr>
          <w:rFonts w:hint="eastAsia"/>
          <w:color w:val="auto"/>
          <w:szCs w:val="21"/>
          <w:u w:val="single"/>
        </w:rPr>
        <w:t xml:space="preserve">  </w:t>
      </w:r>
      <w:r>
        <w:rPr>
          <w:color w:val="auto"/>
          <w:szCs w:val="21"/>
          <w:u w:val="single"/>
        </w:rPr>
        <w:t xml:space="preserve">  </w:t>
      </w:r>
      <w:r>
        <w:rPr>
          <w:rFonts w:hAnsi="宋体"/>
          <w:color w:val="auto"/>
          <w:szCs w:val="21"/>
        </w:rPr>
        <w:t>职务：</w:t>
      </w:r>
      <w:r>
        <w:rPr>
          <w:rFonts w:hint="eastAsia"/>
          <w:color w:val="auto"/>
          <w:szCs w:val="21"/>
          <w:u w:val="single"/>
        </w:rPr>
        <w:t xml:space="preserve">              . </w:t>
      </w:r>
    </w:p>
    <w:p>
      <w:pPr>
        <w:widowControl/>
        <w:spacing w:line="360" w:lineRule="auto"/>
        <w:rPr>
          <w:color w:val="auto"/>
          <w:szCs w:val="21"/>
        </w:rPr>
      </w:pPr>
      <w:r>
        <w:rPr>
          <w:rFonts w:hAnsi="宋体"/>
          <w:color w:val="auto"/>
          <w:szCs w:val="21"/>
        </w:rPr>
        <w:t>身份证号码：</w:t>
      </w:r>
    </w:p>
    <w:p>
      <w:pPr>
        <w:widowControl/>
        <w:spacing w:line="360" w:lineRule="auto"/>
        <w:rPr>
          <w:color w:val="auto"/>
          <w:szCs w:val="21"/>
          <w:u w:val="single"/>
        </w:rPr>
      </w:pPr>
      <w:r>
        <w:rPr>
          <w:rFonts w:hAnsi="宋体"/>
          <w:color w:val="auto"/>
          <w:szCs w:val="21"/>
        </w:rPr>
        <w:t>系</w:t>
      </w:r>
      <w:r>
        <w:rPr>
          <w:color w:val="auto"/>
          <w:szCs w:val="21"/>
          <w:u w:val="single"/>
        </w:rPr>
        <w:t xml:space="preserve">                                         </w:t>
      </w:r>
      <w:r>
        <w:rPr>
          <w:rFonts w:hAnsi="宋体"/>
          <w:color w:val="auto"/>
          <w:szCs w:val="21"/>
        </w:rPr>
        <w:t>的法定代表人。</w:t>
      </w:r>
    </w:p>
    <w:p>
      <w:pPr>
        <w:widowControl/>
        <w:spacing w:line="360" w:lineRule="auto"/>
        <w:rPr>
          <w:color w:val="auto"/>
          <w:szCs w:val="21"/>
        </w:rPr>
      </w:pPr>
      <w:r>
        <w:rPr>
          <w:rFonts w:hAnsi="宋体"/>
          <w:color w:val="auto"/>
          <w:szCs w:val="21"/>
        </w:rPr>
        <w:t>特此证明。</w:t>
      </w:r>
    </w:p>
    <w:p>
      <w:pPr>
        <w:widowControl/>
        <w:spacing w:line="360" w:lineRule="auto"/>
        <w:rPr>
          <w:color w:val="auto"/>
          <w:szCs w:val="21"/>
        </w:rPr>
      </w:pPr>
    </w:p>
    <w:p>
      <w:pPr>
        <w:widowControl/>
        <w:spacing w:line="360" w:lineRule="auto"/>
        <w:rPr>
          <w:color w:val="auto"/>
          <w:szCs w:val="21"/>
        </w:rPr>
      </w:pPr>
    </w:p>
    <w:p>
      <w:pPr>
        <w:widowControl/>
        <w:spacing w:line="360" w:lineRule="auto"/>
        <w:ind w:firstLine="2415" w:firstLineChars="1150"/>
        <w:rPr>
          <w:color w:val="auto"/>
          <w:szCs w:val="21"/>
          <w:u w:val="single"/>
        </w:rPr>
      </w:pPr>
      <w:r>
        <w:rPr>
          <w:rFonts w:hint="eastAsia" w:hAnsi="宋体"/>
          <w:color w:val="auto"/>
          <w:szCs w:val="21"/>
        </w:rPr>
        <w:t>供应商</w:t>
      </w:r>
      <w:r>
        <w:rPr>
          <w:rFonts w:hAnsi="宋体"/>
          <w:color w:val="auto"/>
          <w:szCs w:val="21"/>
        </w:rPr>
        <w:t>：</w:t>
      </w:r>
      <w:r>
        <w:rPr>
          <w:color w:val="auto"/>
          <w:szCs w:val="21"/>
          <w:u w:val="single"/>
        </w:rPr>
        <w:t xml:space="preserve">             </w:t>
      </w:r>
      <w:r>
        <w:rPr>
          <w:rFonts w:hAnsi="宋体"/>
          <w:color w:val="auto"/>
          <w:szCs w:val="21"/>
          <w:u w:val="single"/>
        </w:rPr>
        <w:t>（盖公章）</w:t>
      </w:r>
    </w:p>
    <w:p>
      <w:pPr>
        <w:widowControl/>
        <w:spacing w:line="360" w:lineRule="auto"/>
        <w:ind w:firstLine="2415" w:firstLineChars="1150"/>
        <w:rPr>
          <w:color w:val="auto"/>
          <w:szCs w:val="21"/>
        </w:rPr>
      </w:pPr>
      <w:r>
        <w:rPr>
          <w:rFonts w:hAnsi="宋体"/>
          <w:color w:val="auto"/>
          <w:szCs w:val="21"/>
        </w:rPr>
        <w:t>日</w:t>
      </w:r>
      <w:r>
        <w:rPr>
          <w:color w:val="auto"/>
          <w:szCs w:val="21"/>
        </w:rPr>
        <w:t xml:space="preserve">    </w:t>
      </w:r>
      <w:r>
        <w:rPr>
          <w:rFonts w:hAnsi="宋体"/>
          <w:color w:val="auto"/>
          <w:szCs w:val="21"/>
        </w:rPr>
        <w:t>期：</w:t>
      </w:r>
      <w:r>
        <w:rPr>
          <w:color w:val="auto"/>
          <w:szCs w:val="21"/>
        </w:rPr>
        <w:t xml:space="preserve">      </w:t>
      </w:r>
      <w:r>
        <w:rPr>
          <w:rFonts w:hAnsi="宋体"/>
          <w:color w:val="auto"/>
          <w:szCs w:val="21"/>
        </w:rPr>
        <w:t>年</w:t>
      </w:r>
      <w:r>
        <w:rPr>
          <w:color w:val="auto"/>
          <w:szCs w:val="21"/>
        </w:rPr>
        <w:t xml:space="preserve">     </w:t>
      </w:r>
      <w:r>
        <w:rPr>
          <w:rFonts w:hAnsi="宋体"/>
          <w:color w:val="auto"/>
          <w:szCs w:val="21"/>
        </w:rPr>
        <w:t>月</w:t>
      </w:r>
      <w:r>
        <w:rPr>
          <w:color w:val="auto"/>
          <w:szCs w:val="21"/>
        </w:rPr>
        <w:t xml:space="preserve">     </w:t>
      </w:r>
      <w:r>
        <w:rPr>
          <w:rFonts w:hAnsi="宋体"/>
          <w:color w:val="auto"/>
          <w:szCs w:val="21"/>
        </w:rPr>
        <w:t>日</w:t>
      </w:r>
    </w:p>
    <w:p>
      <w:pPr>
        <w:widowControl/>
        <w:spacing w:line="360" w:lineRule="auto"/>
        <w:rPr>
          <w:color w:val="auto"/>
          <w:szCs w:val="21"/>
        </w:rPr>
      </w:pPr>
    </w:p>
    <w:p>
      <w:pPr>
        <w:widowControl/>
        <w:spacing w:line="360" w:lineRule="auto"/>
        <w:rPr>
          <w:color w:val="auto"/>
          <w:szCs w:val="21"/>
        </w:rPr>
      </w:pPr>
    </w:p>
    <w:p>
      <w:pPr>
        <w:widowControl/>
        <w:spacing w:line="360" w:lineRule="auto"/>
        <w:rPr>
          <w:color w:val="auto"/>
          <w:szCs w:val="21"/>
          <w:u w:val="single"/>
        </w:rPr>
      </w:pPr>
      <w:r>
        <w:rPr>
          <w:rFonts w:hAnsi="宋体"/>
          <w:color w:val="auto"/>
          <w:szCs w:val="21"/>
        </w:rPr>
        <w:t>附：法定代表人身份证复印件</w:t>
      </w:r>
    </w:p>
    <w:p>
      <w:pPr>
        <w:spacing w:line="360" w:lineRule="auto"/>
        <w:jc w:val="center"/>
        <w:rPr>
          <w:rFonts w:ascii="宋体" w:hAnsi="宋体"/>
          <w:b/>
          <w:color w:val="auto"/>
          <w:sz w:val="32"/>
          <w:szCs w:val="32"/>
        </w:rPr>
      </w:pPr>
    </w:p>
    <w:p>
      <w:pPr>
        <w:spacing w:line="360" w:lineRule="auto"/>
        <w:jc w:val="center"/>
        <w:rPr>
          <w:rFonts w:ascii="宋体" w:hAnsi="宋体"/>
          <w:b/>
          <w:color w:val="auto"/>
          <w:sz w:val="32"/>
          <w:szCs w:val="32"/>
        </w:rPr>
      </w:pPr>
    </w:p>
    <w:p>
      <w:pPr>
        <w:spacing w:line="360" w:lineRule="auto"/>
        <w:jc w:val="center"/>
        <w:rPr>
          <w:rFonts w:ascii="宋体" w:hAnsi="宋体"/>
          <w:b/>
          <w:color w:val="auto"/>
          <w:sz w:val="32"/>
          <w:szCs w:val="32"/>
        </w:rPr>
      </w:pPr>
    </w:p>
    <w:p>
      <w:pPr>
        <w:spacing w:line="360" w:lineRule="auto"/>
        <w:jc w:val="center"/>
        <w:rPr>
          <w:rFonts w:ascii="宋体" w:hAnsi="宋体"/>
          <w:b/>
          <w:color w:val="auto"/>
          <w:sz w:val="32"/>
          <w:szCs w:val="32"/>
        </w:rPr>
      </w:pPr>
    </w:p>
    <w:p>
      <w:pPr>
        <w:spacing w:line="360" w:lineRule="auto"/>
        <w:jc w:val="center"/>
        <w:rPr>
          <w:rFonts w:ascii="宋体" w:hAnsi="宋体"/>
          <w:b/>
          <w:color w:val="auto"/>
          <w:sz w:val="32"/>
          <w:szCs w:val="32"/>
        </w:rPr>
      </w:pPr>
    </w:p>
    <w:p>
      <w:pPr>
        <w:spacing w:line="360" w:lineRule="auto"/>
        <w:jc w:val="center"/>
        <w:rPr>
          <w:rFonts w:ascii="宋体" w:hAnsi="宋体"/>
          <w:b/>
          <w:color w:val="auto"/>
          <w:sz w:val="32"/>
          <w:szCs w:val="32"/>
        </w:rPr>
      </w:pPr>
    </w:p>
    <w:p>
      <w:pPr>
        <w:spacing w:line="360" w:lineRule="auto"/>
        <w:jc w:val="center"/>
        <w:rPr>
          <w:rFonts w:ascii="宋体" w:hAnsi="宋体"/>
          <w:b/>
          <w:color w:val="auto"/>
          <w:sz w:val="32"/>
          <w:szCs w:val="32"/>
        </w:rPr>
      </w:pPr>
    </w:p>
    <w:p>
      <w:pPr>
        <w:spacing w:line="360" w:lineRule="auto"/>
        <w:jc w:val="center"/>
        <w:rPr>
          <w:rFonts w:ascii="宋体" w:hAnsi="宋体"/>
          <w:b/>
          <w:color w:val="auto"/>
          <w:sz w:val="32"/>
          <w:szCs w:val="32"/>
        </w:rPr>
      </w:pPr>
    </w:p>
    <w:p>
      <w:pPr>
        <w:spacing w:line="360" w:lineRule="auto"/>
        <w:jc w:val="center"/>
        <w:rPr>
          <w:rFonts w:ascii="宋体" w:hAnsi="宋体"/>
          <w:b/>
          <w:color w:val="auto"/>
          <w:sz w:val="32"/>
          <w:szCs w:val="32"/>
        </w:rPr>
      </w:pPr>
      <w:r>
        <w:rPr>
          <w:rFonts w:hint="eastAsia" w:ascii="宋体" w:hAnsi="宋体"/>
          <w:b/>
          <w:color w:val="auto"/>
          <w:sz w:val="32"/>
          <w:szCs w:val="32"/>
        </w:rPr>
        <w:t>5、授权委托书</w:t>
      </w:r>
    </w:p>
    <w:p>
      <w:pPr>
        <w:spacing w:line="360" w:lineRule="auto"/>
        <w:rPr>
          <w:rFonts w:ascii="宋体" w:hAnsi="宋体"/>
          <w:color w:val="auto"/>
          <w:sz w:val="24"/>
          <w:szCs w:val="24"/>
        </w:rPr>
      </w:pPr>
      <w:r>
        <w:rPr>
          <w:rFonts w:hint="eastAsia" w:ascii="宋体" w:hAnsi="宋体"/>
          <w:color w:val="auto"/>
          <w:sz w:val="24"/>
          <w:szCs w:val="24"/>
        </w:rPr>
        <w:t>致：</w:t>
      </w:r>
      <w:r>
        <w:rPr>
          <w:rFonts w:hint="eastAsia" w:ascii="宋体" w:hAnsi="宋体"/>
          <w:color w:val="auto"/>
          <w:sz w:val="24"/>
          <w:szCs w:val="24"/>
          <w:lang w:eastAsia="zh-CN"/>
        </w:rPr>
        <w:t>海南众采招标代理有限公司</w:t>
      </w:r>
      <w:r>
        <w:rPr>
          <w:rFonts w:hint="eastAsia" w:ascii="宋体" w:hAnsi="宋体"/>
          <w:color w:val="auto"/>
          <w:sz w:val="24"/>
          <w:szCs w:val="24"/>
        </w:rPr>
        <w:t>：</w:t>
      </w:r>
    </w:p>
    <w:p>
      <w:pPr>
        <w:spacing w:line="360" w:lineRule="auto"/>
        <w:ind w:firstLine="480"/>
        <w:rPr>
          <w:rFonts w:ascii="宋体" w:hAnsi="宋体"/>
          <w:color w:val="auto"/>
          <w:sz w:val="24"/>
          <w:szCs w:val="24"/>
        </w:rPr>
      </w:pPr>
      <w:r>
        <w:rPr>
          <w:rFonts w:hint="eastAsia" w:ascii="宋体" w:hAnsi="宋体"/>
          <w:color w:val="auto"/>
          <w:sz w:val="24"/>
          <w:szCs w:val="24"/>
        </w:rPr>
        <w:t>本授权书声明：</w:t>
      </w:r>
    </w:p>
    <w:p>
      <w:pPr>
        <w:spacing w:line="360" w:lineRule="auto"/>
        <w:rPr>
          <w:rFonts w:ascii="宋体" w:hAnsi="宋体"/>
          <w:color w:val="auto"/>
          <w:sz w:val="24"/>
          <w:szCs w:val="24"/>
          <w:u w:val="single"/>
        </w:rPr>
      </w:pPr>
      <w:r>
        <w:rPr>
          <w:rFonts w:hint="eastAsia" w:ascii="宋体" w:hAnsi="宋体"/>
          <w:color w:val="auto"/>
          <w:sz w:val="24"/>
          <w:szCs w:val="24"/>
        </w:rPr>
        <w:t>委托</w:t>
      </w:r>
      <w:r>
        <w:rPr>
          <w:rFonts w:hint="eastAsia" w:ascii="宋体" w:hAnsi="宋体"/>
          <w:color w:val="auto"/>
          <w:sz w:val="24"/>
          <w:szCs w:val="24"/>
          <w:lang w:eastAsia="zh-CN"/>
        </w:rPr>
        <w:t>单位</w:t>
      </w:r>
      <w:r>
        <w:rPr>
          <w:rFonts w:hint="eastAsia" w:ascii="宋体" w:hAnsi="宋体"/>
          <w:color w:val="auto"/>
          <w:sz w:val="24"/>
          <w:szCs w:val="24"/>
        </w:rPr>
        <w:t>：</w:t>
      </w:r>
      <w:r>
        <w:rPr>
          <w:rFonts w:hint="eastAsia" w:ascii="宋体" w:hAnsi="宋体"/>
          <w:color w:val="auto"/>
          <w:sz w:val="24"/>
          <w:szCs w:val="24"/>
          <w:u w:val="single"/>
        </w:rPr>
        <w:t xml:space="preserve">                                            </w:t>
      </w:r>
    </w:p>
    <w:p>
      <w:pPr>
        <w:spacing w:line="360" w:lineRule="auto"/>
        <w:rPr>
          <w:rFonts w:ascii="宋体" w:hAnsi="宋体"/>
          <w:color w:val="auto"/>
          <w:sz w:val="24"/>
          <w:szCs w:val="24"/>
        </w:rPr>
      </w:pPr>
      <w:r>
        <w:rPr>
          <w:rFonts w:hint="eastAsia" w:ascii="宋体" w:hAnsi="宋体"/>
          <w:color w:val="auto"/>
          <w:sz w:val="24"/>
          <w:szCs w:val="24"/>
        </w:rPr>
        <w:t>地  址：</w:t>
      </w:r>
      <w:r>
        <w:rPr>
          <w:rFonts w:hint="eastAsia" w:ascii="宋体" w:hAnsi="宋体"/>
          <w:b/>
          <w:color w:val="auto"/>
          <w:sz w:val="24"/>
          <w:szCs w:val="24"/>
          <w:u w:val="single"/>
        </w:rPr>
        <w:t xml:space="preserve">                      </w:t>
      </w:r>
      <w:r>
        <w:rPr>
          <w:rFonts w:hint="eastAsia" w:ascii="宋体" w:hAnsi="宋体"/>
          <w:color w:val="auto"/>
          <w:sz w:val="24"/>
          <w:szCs w:val="24"/>
        </w:rPr>
        <w:t>法定代表人：</w:t>
      </w:r>
      <w:r>
        <w:rPr>
          <w:rFonts w:hint="eastAsia" w:ascii="宋体" w:hAnsi="宋体"/>
          <w:color w:val="auto"/>
          <w:sz w:val="24"/>
          <w:szCs w:val="24"/>
          <w:u w:val="single"/>
        </w:rPr>
        <w:t xml:space="preserve">          </w:t>
      </w:r>
    </w:p>
    <w:p>
      <w:pPr>
        <w:spacing w:line="360" w:lineRule="auto"/>
        <w:rPr>
          <w:rFonts w:ascii="宋体" w:hAnsi="宋体"/>
          <w:color w:val="auto"/>
          <w:sz w:val="24"/>
          <w:szCs w:val="24"/>
        </w:rPr>
      </w:pPr>
      <w:r>
        <w:rPr>
          <w:rFonts w:hint="eastAsia" w:ascii="宋体" w:hAnsi="宋体"/>
          <w:color w:val="auto"/>
          <w:sz w:val="24"/>
          <w:szCs w:val="24"/>
        </w:rPr>
        <w:t>受托人：姓名</w:t>
      </w:r>
      <w:r>
        <w:rPr>
          <w:rFonts w:hint="eastAsia" w:ascii="宋体" w:hAnsi="宋体"/>
          <w:color w:val="auto"/>
          <w:sz w:val="24"/>
          <w:szCs w:val="24"/>
          <w:u w:val="single"/>
        </w:rPr>
        <w:t xml:space="preserve">       </w:t>
      </w:r>
      <w:r>
        <w:rPr>
          <w:rFonts w:hint="eastAsia" w:ascii="宋体" w:hAnsi="宋体"/>
          <w:color w:val="auto"/>
          <w:sz w:val="24"/>
          <w:szCs w:val="24"/>
        </w:rPr>
        <w:t>性别</w:t>
      </w:r>
      <w:r>
        <w:rPr>
          <w:rFonts w:hint="eastAsia" w:ascii="宋体" w:hAnsi="宋体"/>
          <w:color w:val="auto"/>
          <w:sz w:val="24"/>
          <w:szCs w:val="24"/>
          <w:u w:val="single"/>
        </w:rPr>
        <w:t xml:space="preserve">：     </w:t>
      </w:r>
      <w:r>
        <w:rPr>
          <w:rFonts w:hint="eastAsia" w:ascii="宋体" w:hAnsi="宋体"/>
          <w:color w:val="auto"/>
          <w:sz w:val="24"/>
          <w:szCs w:val="24"/>
        </w:rPr>
        <w:t>出生日期：</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spacing w:line="360" w:lineRule="auto"/>
        <w:rPr>
          <w:rFonts w:ascii="宋体" w:hAnsi="宋体"/>
          <w:color w:val="auto"/>
          <w:sz w:val="24"/>
          <w:szCs w:val="24"/>
        </w:rPr>
      </w:pPr>
      <w:r>
        <w:rPr>
          <w:rFonts w:hint="eastAsia" w:ascii="宋体" w:hAnsi="宋体"/>
          <w:color w:val="auto"/>
          <w:sz w:val="24"/>
          <w:szCs w:val="24"/>
        </w:rPr>
        <w:t>所在单位：</w:t>
      </w:r>
      <w:r>
        <w:rPr>
          <w:rFonts w:hint="eastAsia" w:ascii="宋体" w:hAnsi="宋体"/>
          <w:color w:val="auto"/>
          <w:sz w:val="24"/>
          <w:szCs w:val="24"/>
          <w:u w:val="single"/>
        </w:rPr>
        <w:t xml:space="preserve">                            </w:t>
      </w:r>
      <w:r>
        <w:rPr>
          <w:rFonts w:hint="eastAsia" w:ascii="宋体" w:hAnsi="宋体"/>
          <w:color w:val="auto"/>
          <w:sz w:val="24"/>
          <w:szCs w:val="24"/>
        </w:rPr>
        <w:t>职务：</w:t>
      </w:r>
      <w:r>
        <w:rPr>
          <w:rFonts w:hint="eastAsia" w:ascii="宋体" w:hAnsi="宋体"/>
          <w:color w:val="auto"/>
          <w:sz w:val="24"/>
          <w:szCs w:val="24"/>
          <w:u w:val="single"/>
        </w:rPr>
        <w:t xml:space="preserve">           </w:t>
      </w:r>
    </w:p>
    <w:p>
      <w:pPr>
        <w:spacing w:line="360" w:lineRule="auto"/>
        <w:rPr>
          <w:rFonts w:ascii="宋体" w:hAnsi="宋体"/>
          <w:color w:val="auto"/>
          <w:sz w:val="24"/>
          <w:szCs w:val="24"/>
        </w:rPr>
      </w:pPr>
      <w:r>
        <w:rPr>
          <w:rFonts w:hint="eastAsia" w:ascii="宋体" w:hAnsi="宋体"/>
          <w:color w:val="auto"/>
          <w:sz w:val="24"/>
          <w:szCs w:val="24"/>
        </w:rPr>
        <w:t>身 份 证：</w:t>
      </w:r>
      <w:r>
        <w:rPr>
          <w:rFonts w:hint="eastAsia" w:ascii="宋体" w:hAnsi="宋体"/>
          <w:color w:val="auto"/>
          <w:sz w:val="24"/>
          <w:szCs w:val="24"/>
          <w:u w:val="single"/>
        </w:rPr>
        <w:t xml:space="preserve">               </w:t>
      </w:r>
      <w:r>
        <w:rPr>
          <w:rFonts w:hint="eastAsia" w:ascii="宋体" w:hAnsi="宋体"/>
          <w:color w:val="auto"/>
          <w:sz w:val="24"/>
          <w:szCs w:val="24"/>
        </w:rPr>
        <w:t xml:space="preserve"> 联系方式:</w:t>
      </w:r>
      <w:r>
        <w:rPr>
          <w:rFonts w:hint="eastAsia" w:ascii="宋体" w:hAnsi="宋体"/>
          <w:color w:val="auto"/>
          <w:sz w:val="24"/>
          <w:szCs w:val="24"/>
          <w:u w:val="single"/>
        </w:rPr>
        <w:t xml:space="preserve">                    </w:t>
      </w:r>
    </w:p>
    <w:p>
      <w:pPr>
        <w:spacing w:line="360" w:lineRule="auto"/>
        <w:ind w:firstLine="480" w:firstLineChars="200"/>
        <w:rPr>
          <w:rFonts w:ascii="宋体" w:hAnsi="宋体"/>
          <w:color w:val="auto"/>
          <w:sz w:val="24"/>
          <w:szCs w:val="24"/>
        </w:rPr>
      </w:pPr>
      <w:r>
        <w:rPr>
          <w:rFonts w:hint="eastAsia" w:ascii="宋体" w:hAnsi="宋体" w:cs="宋体"/>
          <w:color w:val="auto"/>
          <w:sz w:val="24"/>
          <w:szCs w:val="24"/>
        </w:rPr>
        <w:t>兹委托受托人</w:t>
      </w:r>
      <w:r>
        <w:rPr>
          <w:rFonts w:hint="eastAsia" w:ascii="宋体" w:hAnsi="宋体" w:cs="宋体"/>
          <w:color w:val="auto"/>
          <w:sz w:val="24"/>
          <w:szCs w:val="24"/>
          <w:u w:val="single"/>
        </w:rPr>
        <w:t xml:space="preserve">               </w:t>
      </w:r>
      <w:r>
        <w:rPr>
          <w:rFonts w:hint="eastAsia" w:ascii="宋体" w:hAnsi="宋体" w:cs="宋体"/>
          <w:color w:val="auto"/>
          <w:sz w:val="24"/>
          <w:szCs w:val="24"/>
        </w:rPr>
        <w:t>代表我方参加</w:t>
      </w:r>
      <w:r>
        <w:rPr>
          <w:rFonts w:hint="eastAsia" w:ascii="宋体" w:hAnsi="宋体" w:cs="宋体"/>
          <w:color w:val="auto"/>
          <w:sz w:val="24"/>
          <w:szCs w:val="24"/>
          <w:lang w:eastAsia="zh-CN"/>
        </w:rPr>
        <w:t>海南众采招标代理有限公司</w:t>
      </w:r>
      <w:r>
        <w:rPr>
          <w:rFonts w:hint="eastAsia" w:ascii="宋体" w:hAnsi="宋体" w:cs="宋体"/>
          <w:color w:val="auto"/>
          <w:sz w:val="24"/>
          <w:szCs w:val="24"/>
        </w:rPr>
        <w:t>组织的</w:t>
      </w:r>
      <w:r>
        <w:rPr>
          <w:rFonts w:ascii="宋体" w:hAnsi="宋体"/>
          <w:color w:val="auto"/>
          <w:kern w:val="28"/>
          <w:sz w:val="24"/>
          <w:u w:val="single"/>
        </w:rPr>
        <w:t xml:space="preserve">                </w:t>
      </w:r>
      <w:r>
        <w:rPr>
          <w:rFonts w:hint="eastAsia" w:ascii="宋体" w:hAnsi="宋体"/>
          <w:color w:val="auto"/>
          <w:kern w:val="28"/>
          <w:sz w:val="24"/>
          <w:u w:val="single"/>
        </w:rPr>
        <w:t>（项目</w:t>
      </w:r>
      <w:r>
        <w:rPr>
          <w:rFonts w:ascii="宋体" w:hAnsi="宋体"/>
          <w:color w:val="auto"/>
          <w:kern w:val="28"/>
          <w:sz w:val="24"/>
          <w:u w:val="single"/>
        </w:rPr>
        <w:t>名称</w:t>
      </w:r>
      <w:r>
        <w:rPr>
          <w:rFonts w:hint="eastAsia" w:ascii="宋体" w:hAnsi="宋体"/>
          <w:color w:val="auto"/>
          <w:kern w:val="28"/>
          <w:sz w:val="24"/>
          <w:u w:val="single"/>
        </w:rPr>
        <w:t>）</w:t>
      </w:r>
      <w:r>
        <w:rPr>
          <w:rFonts w:hint="eastAsia" w:ascii="宋体" w:hAnsi="宋体" w:cs="宋体"/>
          <w:color w:val="auto"/>
          <w:sz w:val="24"/>
          <w:szCs w:val="24"/>
        </w:rPr>
        <w:t>（项目编号为：</w:t>
      </w:r>
      <w:r>
        <w:rPr>
          <w:rFonts w:hint="eastAsia" w:ascii="宋体" w:hAnsi="宋体" w:cs="宋体"/>
          <w:color w:val="auto"/>
          <w:sz w:val="24"/>
          <w:szCs w:val="24"/>
          <w:lang w:eastAsia="zh-CN"/>
        </w:rPr>
        <w:t>HNZC2023-ZB-055</w:t>
      </w:r>
      <w:r>
        <w:rPr>
          <w:rFonts w:hint="eastAsia" w:ascii="宋体" w:hAnsi="宋体" w:cs="宋体"/>
          <w:color w:val="auto"/>
          <w:sz w:val="24"/>
          <w:szCs w:val="24"/>
        </w:rPr>
        <w:t>）</w:t>
      </w:r>
      <w:r>
        <w:rPr>
          <w:rFonts w:hint="eastAsia" w:ascii="宋体" w:hAnsi="宋体"/>
          <w:color w:val="auto"/>
          <w:sz w:val="24"/>
          <w:szCs w:val="24"/>
        </w:rPr>
        <w:t>的政府采购活动，并授权其全权办理以下事宜：</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1、参加报价活动；</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2、出席谈判会议；</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3、签订与成交事宜有关的合同；</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4、负责合同的履行、服务以及在合同履行过程中有关事宜的洽谈和处理。</w:t>
      </w:r>
    </w:p>
    <w:p>
      <w:pPr>
        <w:spacing w:line="360" w:lineRule="auto"/>
        <w:ind w:firstLine="480"/>
        <w:rPr>
          <w:rFonts w:ascii="宋体" w:hAnsi="宋体"/>
          <w:color w:val="auto"/>
          <w:sz w:val="24"/>
          <w:szCs w:val="24"/>
        </w:rPr>
      </w:pPr>
      <w:r>
        <w:rPr>
          <w:rFonts w:hint="eastAsia" w:ascii="宋体" w:hAnsi="宋体"/>
          <w:color w:val="auto"/>
          <w:sz w:val="24"/>
          <w:szCs w:val="24"/>
        </w:rPr>
        <w:t>受托人在办理上述事宜过程中以其自己的名义所签署的所有文件我方均予以承认。受托人无转委托权。</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委托期限：至上述事宜处理完毕止。</w:t>
      </w:r>
    </w:p>
    <w:p>
      <w:pPr>
        <w:spacing w:line="360" w:lineRule="auto"/>
        <w:rPr>
          <w:rFonts w:ascii="宋体" w:hAnsi="宋体"/>
          <w:color w:val="auto"/>
          <w:sz w:val="24"/>
          <w:szCs w:val="24"/>
        </w:rPr>
      </w:pPr>
      <w:r>
        <w:rPr>
          <w:rFonts w:hint="eastAsia" w:ascii="宋体" w:hAnsi="宋体"/>
          <w:color w:val="auto"/>
          <w:sz w:val="24"/>
          <w:szCs w:val="24"/>
        </w:rPr>
        <w:t>附：</w:t>
      </w:r>
      <w:r>
        <w:rPr>
          <w:rFonts w:hint="eastAsia" w:ascii="宋体" w:hAnsi="宋体"/>
          <w:color w:val="auto"/>
          <w:sz w:val="24"/>
          <w:szCs w:val="24"/>
          <w:lang w:eastAsia="zh-CN"/>
        </w:rPr>
        <w:t>法人代表身份证复印件和受托人</w:t>
      </w:r>
      <w:r>
        <w:rPr>
          <w:rFonts w:hint="eastAsia" w:ascii="宋体" w:hAnsi="宋体"/>
          <w:color w:val="auto"/>
          <w:sz w:val="24"/>
          <w:szCs w:val="24"/>
        </w:rPr>
        <w:t>身份证复印件</w:t>
      </w:r>
    </w:p>
    <w:p>
      <w:pPr>
        <w:spacing w:line="360" w:lineRule="auto"/>
        <w:ind w:firstLine="3840" w:firstLineChars="1600"/>
        <w:rPr>
          <w:rFonts w:ascii="宋体" w:hAnsi="宋体"/>
          <w:color w:val="auto"/>
          <w:sz w:val="24"/>
          <w:szCs w:val="24"/>
        </w:rPr>
      </w:pPr>
      <w:r>
        <w:rPr>
          <w:rFonts w:hint="eastAsia" w:ascii="宋体" w:hAnsi="宋体"/>
          <w:color w:val="auto"/>
          <w:sz w:val="24"/>
          <w:szCs w:val="24"/>
        </w:rPr>
        <w:t xml:space="preserve">委托单位    （公章）          </w:t>
      </w:r>
    </w:p>
    <w:p>
      <w:pPr>
        <w:spacing w:line="360" w:lineRule="auto"/>
        <w:rPr>
          <w:rFonts w:ascii="宋体" w:hAnsi="宋体"/>
          <w:color w:val="auto"/>
          <w:sz w:val="24"/>
          <w:szCs w:val="24"/>
        </w:rPr>
      </w:pPr>
      <w:r>
        <w:rPr>
          <w:rFonts w:hint="eastAsia" w:ascii="宋体" w:hAnsi="宋体"/>
          <w:color w:val="auto"/>
          <w:sz w:val="24"/>
          <w:szCs w:val="24"/>
        </w:rPr>
        <w:t xml:space="preserve">                                法定代表人  </w:t>
      </w:r>
      <w:r>
        <w:rPr>
          <w:rFonts w:hint="eastAsia" w:ascii="宋体" w:hAnsi="宋体" w:cs="宋体"/>
          <w:color w:val="auto"/>
          <w:sz w:val="24"/>
        </w:rPr>
        <w:t>（签字</w:t>
      </w:r>
      <w:r>
        <w:rPr>
          <w:rFonts w:hint="eastAsia" w:ascii="宋体" w:hAnsi="宋体" w:cs="宋体"/>
          <w:color w:val="auto"/>
          <w:sz w:val="24"/>
          <w:lang w:eastAsia="zh-CN"/>
        </w:rPr>
        <w:t>或盖章</w:t>
      </w:r>
      <w:r>
        <w:rPr>
          <w:rFonts w:hint="eastAsia" w:ascii="宋体" w:hAnsi="宋体" w:cs="宋体"/>
          <w:color w:val="auto"/>
          <w:sz w:val="24"/>
        </w:rPr>
        <w:t>）：</w:t>
      </w:r>
      <w:r>
        <w:rPr>
          <w:rFonts w:hint="eastAsia" w:ascii="宋体" w:hAnsi="宋体"/>
          <w:color w:val="auto"/>
          <w:sz w:val="24"/>
          <w:szCs w:val="24"/>
        </w:rPr>
        <w:t xml:space="preserve">          </w:t>
      </w:r>
    </w:p>
    <w:p>
      <w:pPr>
        <w:spacing w:line="360" w:lineRule="auto"/>
        <w:rPr>
          <w:rFonts w:ascii="宋体" w:hAnsi="宋体"/>
          <w:color w:val="auto"/>
          <w:sz w:val="24"/>
          <w:szCs w:val="24"/>
        </w:rPr>
      </w:pPr>
      <w:r>
        <w:rPr>
          <w:rFonts w:hint="eastAsia" w:ascii="宋体" w:hAnsi="宋体"/>
          <w:color w:val="auto"/>
          <w:sz w:val="24"/>
          <w:szCs w:val="24"/>
        </w:rPr>
        <w:t xml:space="preserve">                                受托人  </w:t>
      </w:r>
      <w:r>
        <w:rPr>
          <w:rFonts w:hint="eastAsia" w:ascii="宋体" w:hAnsi="宋体" w:cs="宋体"/>
          <w:color w:val="auto"/>
          <w:sz w:val="24"/>
        </w:rPr>
        <w:t>（签字</w:t>
      </w:r>
      <w:r>
        <w:rPr>
          <w:rFonts w:hint="eastAsia" w:ascii="宋体" w:hAnsi="宋体" w:cs="宋体"/>
          <w:color w:val="auto"/>
          <w:sz w:val="24"/>
          <w:lang w:eastAsia="zh-CN"/>
        </w:rPr>
        <w:t>或盖章</w:t>
      </w:r>
      <w:r>
        <w:rPr>
          <w:rFonts w:hint="eastAsia" w:ascii="宋体" w:hAnsi="宋体" w:cs="宋体"/>
          <w:color w:val="auto"/>
          <w:sz w:val="24"/>
        </w:rPr>
        <w:t>）：</w:t>
      </w:r>
      <w:r>
        <w:rPr>
          <w:rFonts w:hint="eastAsia" w:ascii="宋体" w:hAnsi="宋体"/>
          <w:color w:val="auto"/>
          <w:sz w:val="24"/>
          <w:szCs w:val="24"/>
        </w:rPr>
        <w:t xml:space="preserve">          </w:t>
      </w:r>
    </w:p>
    <w:p>
      <w:pPr>
        <w:spacing w:line="360" w:lineRule="auto"/>
        <w:ind w:firstLine="4200" w:firstLineChars="1750"/>
        <w:rPr>
          <w:rFonts w:ascii="宋体" w:hAnsi="宋体"/>
          <w:color w:val="auto"/>
          <w:sz w:val="24"/>
          <w:szCs w:val="24"/>
        </w:rPr>
      </w:pPr>
      <w:r>
        <w:rPr>
          <w:rFonts w:hint="eastAsia" w:ascii="宋体" w:hAnsi="宋体"/>
          <w:color w:val="auto"/>
          <w:sz w:val="24"/>
          <w:szCs w:val="24"/>
        </w:rPr>
        <w:t xml:space="preserve">         年     月     日</w:t>
      </w:r>
    </w:p>
    <w:p>
      <w:pPr>
        <w:spacing w:line="360" w:lineRule="auto"/>
        <w:ind w:firstLine="4200" w:firstLineChars="1750"/>
        <w:rPr>
          <w:rFonts w:ascii="宋体" w:hAnsi="宋体"/>
          <w:color w:val="auto"/>
          <w:sz w:val="24"/>
          <w:szCs w:val="24"/>
        </w:rPr>
      </w:pPr>
    </w:p>
    <w:p>
      <w:pPr>
        <w:spacing w:line="360" w:lineRule="auto"/>
        <w:ind w:firstLine="4200" w:firstLineChars="1750"/>
        <w:rPr>
          <w:rFonts w:ascii="宋体" w:hAnsi="宋体"/>
          <w:color w:val="auto"/>
          <w:sz w:val="24"/>
          <w:szCs w:val="24"/>
        </w:rPr>
      </w:pPr>
    </w:p>
    <w:p>
      <w:pPr>
        <w:spacing w:line="360" w:lineRule="auto"/>
        <w:ind w:firstLine="4200" w:firstLineChars="1750"/>
        <w:rPr>
          <w:rFonts w:ascii="宋体" w:hAnsi="宋体"/>
          <w:color w:val="auto"/>
          <w:sz w:val="24"/>
          <w:szCs w:val="24"/>
        </w:rPr>
      </w:pPr>
    </w:p>
    <w:p>
      <w:pPr>
        <w:spacing w:line="360" w:lineRule="auto"/>
        <w:ind w:firstLine="4200" w:firstLineChars="1750"/>
        <w:rPr>
          <w:rFonts w:ascii="宋体" w:hAnsi="宋体"/>
          <w:color w:val="auto"/>
          <w:sz w:val="24"/>
          <w:szCs w:val="24"/>
        </w:rPr>
      </w:pPr>
    </w:p>
    <w:p>
      <w:pPr>
        <w:spacing w:line="360" w:lineRule="auto"/>
        <w:ind w:firstLine="4200" w:firstLineChars="1750"/>
        <w:rPr>
          <w:rFonts w:ascii="宋体" w:hAnsi="宋体"/>
          <w:color w:val="auto"/>
          <w:sz w:val="24"/>
          <w:szCs w:val="24"/>
        </w:rPr>
      </w:pPr>
    </w:p>
    <w:p>
      <w:pPr>
        <w:spacing w:line="360" w:lineRule="auto"/>
        <w:ind w:firstLine="4200" w:firstLineChars="1750"/>
        <w:rPr>
          <w:rFonts w:ascii="宋体" w:hAnsi="宋体"/>
          <w:color w:val="auto"/>
          <w:sz w:val="24"/>
          <w:szCs w:val="24"/>
        </w:rPr>
      </w:pPr>
    </w:p>
    <w:p>
      <w:pPr>
        <w:snapToGrid w:val="0"/>
        <w:spacing w:line="360" w:lineRule="auto"/>
        <w:ind w:firstLine="472" w:firstLineChars="147"/>
        <w:jc w:val="center"/>
        <w:rPr>
          <w:rFonts w:ascii="宋体" w:hAnsi="宋体"/>
          <w:b/>
          <w:color w:val="auto"/>
          <w:sz w:val="32"/>
        </w:rPr>
      </w:pPr>
      <w:r>
        <w:rPr>
          <w:rFonts w:hint="eastAsia" w:ascii="宋体" w:hAnsi="宋体"/>
          <w:b/>
          <w:color w:val="auto"/>
          <w:sz w:val="32"/>
        </w:rPr>
        <w:t>6、供应商资格证明文件</w:t>
      </w:r>
    </w:p>
    <w:p>
      <w:pPr>
        <w:snapToGrid w:val="0"/>
        <w:spacing w:line="360" w:lineRule="auto"/>
        <w:ind w:firstLine="352" w:firstLineChars="147"/>
        <w:jc w:val="center"/>
        <w:rPr>
          <w:rFonts w:ascii="宋体" w:hAnsi="宋体"/>
          <w:bCs/>
          <w:color w:val="auto"/>
          <w:sz w:val="24"/>
          <w:szCs w:val="24"/>
        </w:rPr>
      </w:pPr>
      <w:r>
        <w:rPr>
          <w:rFonts w:hint="eastAsia" w:ascii="宋体" w:hAnsi="宋体"/>
          <w:bCs/>
          <w:color w:val="auto"/>
          <w:sz w:val="24"/>
          <w:szCs w:val="24"/>
        </w:rPr>
        <w:t>（详见第一章供应商资格内容）</w:t>
      </w: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r>
        <w:rPr>
          <w:rFonts w:hint="eastAsia" w:ascii="宋体" w:hAnsi="宋体"/>
          <w:b/>
          <w:color w:val="auto"/>
          <w:sz w:val="32"/>
        </w:rPr>
        <w:t>7、用户需求响应表</w:t>
      </w:r>
    </w:p>
    <w:p>
      <w:pPr>
        <w:spacing w:before="19" w:line="360" w:lineRule="auto"/>
        <w:rPr>
          <w:rFonts w:hint="eastAsia" w:ascii="宋体" w:hAnsi="宋体"/>
          <w:color w:val="auto"/>
          <w:sz w:val="24"/>
          <w:lang w:val="en-US" w:eastAsia="zh-CN"/>
        </w:rPr>
      </w:pPr>
      <w:r>
        <w:rPr>
          <w:rFonts w:hint="eastAsia" w:ascii="宋体" w:hAnsi="宋体"/>
          <w:color w:val="auto"/>
          <w:sz w:val="24"/>
        </w:rPr>
        <w:t>项目名称：</w:t>
      </w:r>
      <w:r>
        <w:rPr>
          <w:rFonts w:hint="eastAsia" w:ascii="宋体" w:hAnsi="宋体"/>
          <w:color w:val="auto"/>
          <w:sz w:val="24"/>
          <w:lang w:eastAsia="zh-CN"/>
        </w:rPr>
        <w:t>白沙黎族自治县公安局特种技术用车采购项目</w:t>
      </w:r>
      <w:r>
        <w:rPr>
          <w:rFonts w:hint="eastAsia" w:ascii="宋体" w:hAnsi="宋体"/>
          <w:color w:val="auto"/>
          <w:sz w:val="24"/>
          <w:lang w:val="en-US" w:eastAsia="zh-CN"/>
        </w:rPr>
        <w:t xml:space="preserve">  </w:t>
      </w:r>
    </w:p>
    <w:p>
      <w:pPr>
        <w:spacing w:before="19" w:line="360" w:lineRule="auto"/>
        <w:rPr>
          <w:rFonts w:hint="eastAsia" w:ascii="宋体" w:hAnsi="宋体" w:eastAsia="宋体"/>
          <w:color w:val="auto"/>
          <w:sz w:val="24"/>
          <w:lang w:eastAsia="zh-CN"/>
        </w:rPr>
      </w:pPr>
      <w:r>
        <w:rPr>
          <w:rFonts w:hint="eastAsia" w:ascii="宋体" w:hAnsi="宋体" w:cs="宋体"/>
          <w:color w:val="auto"/>
          <w:sz w:val="24"/>
          <w:lang w:eastAsia="zh-CN"/>
        </w:rPr>
        <w:t>项目</w:t>
      </w:r>
      <w:r>
        <w:rPr>
          <w:rFonts w:hint="eastAsia" w:ascii="宋体" w:hAnsi="宋体"/>
          <w:color w:val="auto"/>
          <w:sz w:val="24"/>
        </w:rPr>
        <w:t>编号：</w:t>
      </w:r>
      <w:r>
        <w:rPr>
          <w:rFonts w:hint="eastAsia" w:ascii="宋体" w:hAnsi="宋体"/>
          <w:color w:val="auto"/>
          <w:sz w:val="24"/>
          <w:lang w:eastAsia="zh-CN"/>
        </w:rPr>
        <w:t>HNZC2023-ZB-055</w:t>
      </w:r>
    </w:p>
    <w:tbl>
      <w:tblPr>
        <w:tblStyle w:val="24"/>
        <w:tblW w:w="10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457"/>
        <w:gridCol w:w="3733"/>
        <w:gridCol w:w="2604"/>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blHeader/>
          <w:jc w:val="center"/>
        </w:trPr>
        <w:tc>
          <w:tcPr>
            <w:tcW w:w="642" w:type="dxa"/>
            <w:tcBorders>
              <w:bottom w:val="single" w:color="auto" w:sz="4" w:space="0"/>
            </w:tcBorders>
            <w:shd w:val="clear" w:color="auto" w:fill="D9D9D9"/>
            <w:vAlign w:val="center"/>
          </w:tcPr>
          <w:p>
            <w:pPr>
              <w:spacing w:line="360" w:lineRule="auto"/>
              <w:jc w:val="center"/>
              <w:rPr>
                <w:rFonts w:ascii="宋体" w:hAnsi="宋体"/>
                <w:b/>
                <w:color w:val="auto"/>
              </w:rPr>
            </w:pPr>
            <w:r>
              <w:rPr>
                <w:rFonts w:hint="eastAsia" w:ascii="宋体" w:hAnsi="宋体"/>
                <w:b/>
                <w:color w:val="auto"/>
              </w:rPr>
              <w:t>序号</w:t>
            </w:r>
          </w:p>
        </w:tc>
        <w:tc>
          <w:tcPr>
            <w:tcW w:w="1457" w:type="dxa"/>
            <w:tcBorders>
              <w:bottom w:val="single" w:color="auto" w:sz="4" w:space="0"/>
            </w:tcBorders>
            <w:shd w:val="clear" w:color="auto" w:fill="D9D9D9"/>
            <w:vAlign w:val="center"/>
          </w:tcPr>
          <w:p>
            <w:pPr>
              <w:spacing w:line="360" w:lineRule="auto"/>
              <w:jc w:val="center"/>
              <w:rPr>
                <w:rFonts w:hint="eastAsia" w:ascii="宋体" w:hAnsi="宋体" w:eastAsia="宋体"/>
                <w:b/>
                <w:color w:val="auto"/>
                <w:lang w:val="en-US" w:eastAsia="zh-CN"/>
              </w:rPr>
            </w:pPr>
            <w:r>
              <w:rPr>
                <w:rFonts w:hint="eastAsia" w:ascii="宋体" w:hAnsi="宋体"/>
                <w:b/>
                <w:color w:val="auto"/>
                <w:lang w:val="en-US" w:eastAsia="zh-CN"/>
              </w:rPr>
              <w:t>货物名称</w:t>
            </w:r>
          </w:p>
        </w:tc>
        <w:tc>
          <w:tcPr>
            <w:tcW w:w="3733" w:type="dxa"/>
            <w:tcBorders>
              <w:bottom w:val="single" w:color="auto" w:sz="4" w:space="0"/>
            </w:tcBorders>
            <w:shd w:val="clear" w:color="auto" w:fill="D9D9D9"/>
            <w:vAlign w:val="center"/>
          </w:tcPr>
          <w:p>
            <w:pPr>
              <w:spacing w:line="360" w:lineRule="auto"/>
              <w:jc w:val="center"/>
              <w:rPr>
                <w:rFonts w:hint="eastAsia" w:ascii="宋体" w:hAnsi="宋体"/>
                <w:b/>
                <w:color w:val="auto"/>
                <w:szCs w:val="22"/>
                <w:lang w:val="en-US" w:eastAsia="zh-CN"/>
              </w:rPr>
            </w:pPr>
            <w:r>
              <w:rPr>
                <w:rFonts w:hint="eastAsia" w:ascii="宋体" w:hAnsi="宋体"/>
                <w:b/>
                <w:color w:val="auto"/>
                <w:szCs w:val="22"/>
                <w:lang w:val="en-US" w:eastAsia="zh-CN"/>
              </w:rPr>
              <w:t>采购性能指标及技术参数</w:t>
            </w:r>
          </w:p>
        </w:tc>
        <w:tc>
          <w:tcPr>
            <w:tcW w:w="2604" w:type="dxa"/>
            <w:tcBorders>
              <w:bottom w:val="single" w:color="auto" w:sz="4" w:space="0"/>
            </w:tcBorders>
            <w:shd w:val="clear" w:color="auto" w:fill="D9D9D9"/>
            <w:vAlign w:val="center"/>
          </w:tcPr>
          <w:p>
            <w:pPr>
              <w:spacing w:line="360" w:lineRule="auto"/>
              <w:jc w:val="center"/>
              <w:rPr>
                <w:rFonts w:hint="eastAsia" w:ascii="宋体" w:hAnsi="宋体"/>
                <w:b/>
                <w:color w:val="auto"/>
                <w:szCs w:val="22"/>
                <w:lang w:val="en-US" w:eastAsia="zh-CN"/>
              </w:rPr>
            </w:pPr>
            <w:r>
              <w:rPr>
                <w:rFonts w:hint="eastAsia" w:ascii="宋体" w:hAnsi="宋体"/>
                <w:b/>
                <w:color w:val="auto"/>
                <w:szCs w:val="22"/>
                <w:lang w:val="en-US" w:eastAsia="zh-CN"/>
              </w:rPr>
              <w:t>投标性能指标及技术参数</w:t>
            </w:r>
          </w:p>
        </w:tc>
        <w:tc>
          <w:tcPr>
            <w:tcW w:w="1722" w:type="dxa"/>
            <w:tcBorders>
              <w:bottom w:val="single" w:color="auto" w:sz="4" w:space="0"/>
            </w:tcBorders>
            <w:shd w:val="clear" w:color="auto" w:fill="D9D9D9"/>
            <w:vAlign w:val="center"/>
          </w:tcPr>
          <w:p>
            <w:pPr>
              <w:snapToGrid w:val="0"/>
              <w:spacing w:line="360" w:lineRule="auto"/>
              <w:jc w:val="center"/>
              <w:rPr>
                <w:rFonts w:ascii="宋体" w:hAnsi="宋体"/>
                <w:color w:val="auto"/>
                <w:szCs w:val="21"/>
              </w:rPr>
            </w:pPr>
            <w:r>
              <w:rPr>
                <w:rFonts w:hint="eastAsia" w:ascii="宋体" w:hAnsi="宋体"/>
                <w:color w:val="auto"/>
                <w:szCs w:val="21"/>
              </w:rPr>
              <w:t>偏离情况说明</w:t>
            </w:r>
          </w:p>
          <w:p>
            <w:pPr>
              <w:spacing w:line="360" w:lineRule="auto"/>
              <w:jc w:val="center"/>
              <w:rPr>
                <w:rFonts w:ascii="宋体" w:hAnsi="宋体"/>
                <w:b/>
                <w:color w:val="auto"/>
              </w:rPr>
            </w:pP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blHeader/>
          <w:jc w:val="center"/>
        </w:trPr>
        <w:tc>
          <w:tcPr>
            <w:tcW w:w="642" w:type="dxa"/>
            <w:vAlign w:val="center"/>
          </w:tcPr>
          <w:p>
            <w:pPr>
              <w:spacing w:line="360" w:lineRule="auto"/>
              <w:jc w:val="center"/>
              <w:rPr>
                <w:rFonts w:ascii="宋体" w:hAnsi="宋体"/>
                <w:b/>
                <w:color w:val="auto"/>
              </w:rPr>
            </w:pPr>
            <w:r>
              <w:rPr>
                <w:rFonts w:hint="eastAsia" w:ascii="宋体" w:hAnsi="宋体"/>
                <w:b/>
                <w:color w:val="auto"/>
              </w:rPr>
              <w:t>1</w:t>
            </w:r>
          </w:p>
        </w:tc>
        <w:tc>
          <w:tcPr>
            <w:tcW w:w="1457" w:type="dxa"/>
            <w:vAlign w:val="center"/>
          </w:tcPr>
          <w:p>
            <w:pPr>
              <w:spacing w:line="360" w:lineRule="auto"/>
              <w:jc w:val="center"/>
              <w:rPr>
                <w:rFonts w:hint="eastAsia" w:ascii="宋体" w:hAnsi="宋体"/>
                <w:b/>
                <w:color w:val="auto"/>
              </w:rPr>
            </w:pPr>
          </w:p>
        </w:tc>
        <w:tc>
          <w:tcPr>
            <w:tcW w:w="3733" w:type="dxa"/>
            <w:vAlign w:val="center"/>
          </w:tcPr>
          <w:p>
            <w:pPr>
              <w:snapToGrid w:val="0"/>
              <w:spacing w:line="360" w:lineRule="auto"/>
              <w:jc w:val="center"/>
              <w:rPr>
                <w:rFonts w:ascii="宋体" w:hAnsi="宋体"/>
                <w:b/>
                <w:color w:val="auto"/>
              </w:rPr>
            </w:pPr>
          </w:p>
        </w:tc>
        <w:tc>
          <w:tcPr>
            <w:tcW w:w="2604" w:type="dxa"/>
            <w:vAlign w:val="center"/>
          </w:tcPr>
          <w:p>
            <w:pPr>
              <w:snapToGrid w:val="0"/>
              <w:spacing w:line="360" w:lineRule="auto"/>
              <w:jc w:val="center"/>
              <w:rPr>
                <w:rFonts w:ascii="宋体" w:hAnsi="宋体"/>
                <w:b/>
                <w:color w:val="auto"/>
              </w:rPr>
            </w:pPr>
          </w:p>
        </w:tc>
        <w:tc>
          <w:tcPr>
            <w:tcW w:w="1722" w:type="dxa"/>
            <w:vAlign w:val="center"/>
          </w:tcPr>
          <w:p>
            <w:pPr>
              <w:snapToGrid w:val="0"/>
              <w:spacing w:line="360" w:lineRule="auto"/>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642" w:type="dxa"/>
            <w:vAlign w:val="center"/>
          </w:tcPr>
          <w:p>
            <w:pPr>
              <w:spacing w:line="360" w:lineRule="auto"/>
              <w:jc w:val="center"/>
              <w:rPr>
                <w:rFonts w:ascii="宋体" w:hAnsi="宋体"/>
                <w:b/>
                <w:color w:val="auto"/>
              </w:rPr>
            </w:pPr>
            <w:r>
              <w:rPr>
                <w:rFonts w:hint="eastAsia" w:ascii="宋体" w:hAnsi="宋体"/>
                <w:b/>
                <w:color w:val="auto"/>
              </w:rPr>
              <w:t>2</w:t>
            </w:r>
          </w:p>
        </w:tc>
        <w:tc>
          <w:tcPr>
            <w:tcW w:w="1457" w:type="dxa"/>
            <w:vAlign w:val="center"/>
          </w:tcPr>
          <w:p>
            <w:pPr>
              <w:spacing w:line="360" w:lineRule="auto"/>
              <w:jc w:val="center"/>
              <w:rPr>
                <w:rFonts w:hint="eastAsia" w:ascii="宋体" w:hAnsi="宋体"/>
                <w:b/>
                <w:color w:val="auto"/>
              </w:rPr>
            </w:pPr>
          </w:p>
        </w:tc>
        <w:tc>
          <w:tcPr>
            <w:tcW w:w="3733" w:type="dxa"/>
            <w:vAlign w:val="center"/>
          </w:tcPr>
          <w:p>
            <w:pPr>
              <w:snapToGrid w:val="0"/>
              <w:spacing w:line="360" w:lineRule="auto"/>
              <w:jc w:val="center"/>
              <w:rPr>
                <w:rFonts w:ascii="宋体" w:hAnsi="宋体"/>
                <w:b/>
                <w:color w:val="auto"/>
              </w:rPr>
            </w:pPr>
          </w:p>
        </w:tc>
        <w:tc>
          <w:tcPr>
            <w:tcW w:w="2604" w:type="dxa"/>
            <w:vAlign w:val="center"/>
          </w:tcPr>
          <w:p>
            <w:pPr>
              <w:snapToGrid w:val="0"/>
              <w:spacing w:line="360" w:lineRule="auto"/>
              <w:jc w:val="center"/>
              <w:rPr>
                <w:rFonts w:ascii="宋体" w:hAnsi="宋体"/>
                <w:b/>
                <w:color w:val="auto"/>
              </w:rPr>
            </w:pPr>
          </w:p>
        </w:tc>
        <w:tc>
          <w:tcPr>
            <w:tcW w:w="1722" w:type="dxa"/>
            <w:vAlign w:val="center"/>
          </w:tcPr>
          <w:p>
            <w:pPr>
              <w:snapToGrid w:val="0"/>
              <w:spacing w:line="360" w:lineRule="auto"/>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642" w:type="dxa"/>
            <w:vAlign w:val="center"/>
          </w:tcPr>
          <w:p>
            <w:pPr>
              <w:spacing w:line="360" w:lineRule="auto"/>
              <w:jc w:val="center"/>
              <w:rPr>
                <w:rFonts w:ascii="宋体" w:hAnsi="宋体"/>
                <w:b/>
                <w:color w:val="auto"/>
              </w:rPr>
            </w:pPr>
            <w:r>
              <w:rPr>
                <w:rFonts w:hint="eastAsia" w:ascii="宋体" w:hAnsi="宋体"/>
                <w:b/>
                <w:color w:val="auto"/>
              </w:rPr>
              <w:t>3</w:t>
            </w:r>
          </w:p>
        </w:tc>
        <w:tc>
          <w:tcPr>
            <w:tcW w:w="1457" w:type="dxa"/>
            <w:vAlign w:val="center"/>
          </w:tcPr>
          <w:p>
            <w:pPr>
              <w:spacing w:line="360" w:lineRule="auto"/>
              <w:jc w:val="center"/>
              <w:rPr>
                <w:rFonts w:hint="eastAsia" w:ascii="宋体" w:hAnsi="宋体"/>
                <w:b/>
                <w:color w:val="auto"/>
              </w:rPr>
            </w:pPr>
          </w:p>
        </w:tc>
        <w:tc>
          <w:tcPr>
            <w:tcW w:w="3733" w:type="dxa"/>
            <w:vAlign w:val="center"/>
          </w:tcPr>
          <w:p>
            <w:pPr>
              <w:snapToGrid w:val="0"/>
              <w:spacing w:line="360" w:lineRule="auto"/>
              <w:jc w:val="center"/>
              <w:rPr>
                <w:rFonts w:ascii="宋体" w:hAnsi="宋体"/>
                <w:b/>
                <w:color w:val="auto"/>
              </w:rPr>
            </w:pPr>
          </w:p>
        </w:tc>
        <w:tc>
          <w:tcPr>
            <w:tcW w:w="2604" w:type="dxa"/>
            <w:vAlign w:val="center"/>
          </w:tcPr>
          <w:p>
            <w:pPr>
              <w:snapToGrid w:val="0"/>
              <w:spacing w:line="360" w:lineRule="auto"/>
              <w:jc w:val="center"/>
              <w:rPr>
                <w:rFonts w:ascii="宋体" w:hAnsi="宋体"/>
                <w:b/>
                <w:color w:val="auto"/>
              </w:rPr>
            </w:pPr>
          </w:p>
        </w:tc>
        <w:tc>
          <w:tcPr>
            <w:tcW w:w="1722" w:type="dxa"/>
            <w:vAlign w:val="center"/>
          </w:tcPr>
          <w:p>
            <w:pPr>
              <w:snapToGrid w:val="0"/>
              <w:spacing w:line="360" w:lineRule="auto"/>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642" w:type="dxa"/>
            <w:vAlign w:val="center"/>
          </w:tcPr>
          <w:p>
            <w:pPr>
              <w:spacing w:line="360" w:lineRule="auto"/>
              <w:jc w:val="center"/>
              <w:rPr>
                <w:rFonts w:ascii="宋体" w:hAnsi="宋体"/>
                <w:b/>
                <w:color w:val="auto"/>
              </w:rPr>
            </w:pPr>
            <w:r>
              <w:rPr>
                <w:rFonts w:hint="eastAsia" w:ascii="宋体" w:hAnsi="宋体"/>
                <w:b/>
                <w:color w:val="auto"/>
              </w:rPr>
              <w:t>4</w:t>
            </w:r>
          </w:p>
        </w:tc>
        <w:tc>
          <w:tcPr>
            <w:tcW w:w="1457" w:type="dxa"/>
            <w:vAlign w:val="center"/>
          </w:tcPr>
          <w:p>
            <w:pPr>
              <w:spacing w:line="360" w:lineRule="auto"/>
              <w:jc w:val="center"/>
              <w:rPr>
                <w:rFonts w:hint="eastAsia" w:ascii="宋体" w:hAnsi="宋体"/>
                <w:b/>
                <w:color w:val="auto"/>
              </w:rPr>
            </w:pPr>
          </w:p>
        </w:tc>
        <w:tc>
          <w:tcPr>
            <w:tcW w:w="3733" w:type="dxa"/>
            <w:vAlign w:val="center"/>
          </w:tcPr>
          <w:p>
            <w:pPr>
              <w:snapToGrid w:val="0"/>
              <w:spacing w:line="360" w:lineRule="auto"/>
              <w:jc w:val="center"/>
              <w:rPr>
                <w:rFonts w:ascii="宋体" w:hAnsi="宋体"/>
                <w:b/>
                <w:color w:val="auto"/>
              </w:rPr>
            </w:pPr>
          </w:p>
        </w:tc>
        <w:tc>
          <w:tcPr>
            <w:tcW w:w="2604" w:type="dxa"/>
            <w:vAlign w:val="center"/>
          </w:tcPr>
          <w:p>
            <w:pPr>
              <w:snapToGrid w:val="0"/>
              <w:spacing w:line="360" w:lineRule="auto"/>
              <w:jc w:val="center"/>
              <w:rPr>
                <w:rFonts w:ascii="宋体" w:hAnsi="宋体"/>
                <w:b/>
                <w:color w:val="auto"/>
              </w:rPr>
            </w:pPr>
          </w:p>
        </w:tc>
        <w:tc>
          <w:tcPr>
            <w:tcW w:w="1722" w:type="dxa"/>
            <w:vAlign w:val="center"/>
          </w:tcPr>
          <w:p>
            <w:pPr>
              <w:snapToGrid w:val="0"/>
              <w:spacing w:line="360" w:lineRule="auto"/>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642" w:type="dxa"/>
            <w:vAlign w:val="center"/>
          </w:tcPr>
          <w:p>
            <w:pPr>
              <w:spacing w:line="360" w:lineRule="auto"/>
              <w:jc w:val="center"/>
              <w:rPr>
                <w:rFonts w:ascii="宋体" w:hAnsi="宋体"/>
                <w:b/>
                <w:color w:val="auto"/>
              </w:rPr>
            </w:pPr>
            <w:r>
              <w:rPr>
                <w:rFonts w:hint="eastAsia" w:ascii="宋体" w:hAnsi="宋体"/>
                <w:b/>
                <w:color w:val="auto"/>
              </w:rPr>
              <w:t>5</w:t>
            </w:r>
          </w:p>
        </w:tc>
        <w:tc>
          <w:tcPr>
            <w:tcW w:w="1457" w:type="dxa"/>
            <w:vAlign w:val="center"/>
          </w:tcPr>
          <w:p>
            <w:pPr>
              <w:spacing w:line="360" w:lineRule="auto"/>
              <w:jc w:val="center"/>
              <w:rPr>
                <w:rFonts w:hint="eastAsia" w:ascii="宋体" w:hAnsi="宋体"/>
                <w:b/>
                <w:color w:val="auto"/>
              </w:rPr>
            </w:pPr>
          </w:p>
        </w:tc>
        <w:tc>
          <w:tcPr>
            <w:tcW w:w="3733" w:type="dxa"/>
            <w:vAlign w:val="center"/>
          </w:tcPr>
          <w:p>
            <w:pPr>
              <w:snapToGrid w:val="0"/>
              <w:spacing w:line="360" w:lineRule="auto"/>
              <w:jc w:val="center"/>
              <w:rPr>
                <w:rFonts w:ascii="宋体" w:hAnsi="宋体"/>
                <w:b/>
                <w:color w:val="auto"/>
              </w:rPr>
            </w:pPr>
          </w:p>
        </w:tc>
        <w:tc>
          <w:tcPr>
            <w:tcW w:w="2604" w:type="dxa"/>
            <w:vAlign w:val="center"/>
          </w:tcPr>
          <w:p>
            <w:pPr>
              <w:snapToGrid w:val="0"/>
              <w:spacing w:line="360" w:lineRule="auto"/>
              <w:jc w:val="center"/>
              <w:rPr>
                <w:rFonts w:ascii="宋体" w:hAnsi="宋体"/>
                <w:b/>
                <w:color w:val="auto"/>
              </w:rPr>
            </w:pPr>
          </w:p>
        </w:tc>
        <w:tc>
          <w:tcPr>
            <w:tcW w:w="1722" w:type="dxa"/>
            <w:vAlign w:val="center"/>
          </w:tcPr>
          <w:p>
            <w:pPr>
              <w:snapToGrid w:val="0"/>
              <w:spacing w:line="360" w:lineRule="auto"/>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blHeader/>
          <w:jc w:val="center"/>
        </w:trPr>
        <w:tc>
          <w:tcPr>
            <w:tcW w:w="642" w:type="dxa"/>
            <w:vAlign w:val="center"/>
          </w:tcPr>
          <w:p>
            <w:pPr>
              <w:spacing w:line="360" w:lineRule="auto"/>
              <w:jc w:val="center"/>
              <w:rPr>
                <w:rFonts w:ascii="宋体" w:hAnsi="宋体"/>
                <w:b/>
                <w:color w:val="auto"/>
              </w:rPr>
            </w:pPr>
            <w:r>
              <w:rPr>
                <w:rFonts w:ascii="宋体" w:hAnsi="宋体"/>
                <w:b/>
                <w:color w:val="auto"/>
              </w:rPr>
              <w:t>…</w:t>
            </w:r>
          </w:p>
        </w:tc>
        <w:tc>
          <w:tcPr>
            <w:tcW w:w="1457" w:type="dxa"/>
            <w:vAlign w:val="center"/>
          </w:tcPr>
          <w:p>
            <w:pPr>
              <w:spacing w:line="360" w:lineRule="auto"/>
              <w:jc w:val="center"/>
              <w:rPr>
                <w:rFonts w:ascii="宋体" w:hAnsi="宋体"/>
                <w:b/>
                <w:color w:val="auto"/>
              </w:rPr>
            </w:pPr>
          </w:p>
        </w:tc>
        <w:tc>
          <w:tcPr>
            <w:tcW w:w="3733" w:type="dxa"/>
            <w:vAlign w:val="center"/>
          </w:tcPr>
          <w:p>
            <w:pPr>
              <w:snapToGrid w:val="0"/>
              <w:spacing w:line="360" w:lineRule="auto"/>
              <w:jc w:val="center"/>
              <w:rPr>
                <w:rFonts w:ascii="宋体" w:hAnsi="宋体"/>
                <w:b/>
                <w:color w:val="auto"/>
              </w:rPr>
            </w:pPr>
          </w:p>
        </w:tc>
        <w:tc>
          <w:tcPr>
            <w:tcW w:w="2604" w:type="dxa"/>
            <w:vAlign w:val="center"/>
          </w:tcPr>
          <w:p>
            <w:pPr>
              <w:snapToGrid w:val="0"/>
              <w:spacing w:line="360" w:lineRule="auto"/>
              <w:jc w:val="center"/>
              <w:rPr>
                <w:rFonts w:ascii="宋体" w:hAnsi="宋体"/>
                <w:b/>
                <w:color w:val="auto"/>
              </w:rPr>
            </w:pPr>
          </w:p>
        </w:tc>
        <w:tc>
          <w:tcPr>
            <w:tcW w:w="1722" w:type="dxa"/>
            <w:vAlign w:val="center"/>
          </w:tcPr>
          <w:p>
            <w:pPr>
              <w:snapToGrid w:val="0"/>
              <w:spacing w:line="360" w:lineRule="auto"/>
              <w:jc w:val="center"/>
              <w:rPr>
                <w:rFonts w:ascii="宋体" w:hAnsi="宋体"/>
                <w:b/>
                <w:color w:val="auto"/>
              </w:rPr>
            </w:pPr>
          </w:p>
        </w:tc>
      </w:tr>
    </w:tbl>
    <w:p>
      <w:pPr>
        <w:snapToGrid w:val="0"/>
        <w:spacing w:line="360" w:lineRule="auto"/>
        <w:rPr>
          <w:rFonts w:ascii="宋体" w:hAnsi="宋体"/>
          <w:color w:val="auto"/>
        </w:rPr>
      </w:pPr>
    </w:p>
    <w:p>
      <w:pPr>
        <w:snapToGrid w:val="0"/>
        <w:spacing w:line="360" w:lineRule="auto"/>
        <w:rPr>
          <w:rFonts w:hint="eastAsia" w:ascii="宋体" w:hAnsi="宋体"/>
          <w:b w:val="0"/>
          <w:bCs/>
          <w:color w:val="auto"/>
          <w:sz w:val="24"/>
          <w:szCs w:val="24"/>
        </w:rPr>
      </w:pPr>
      <w:r>
        <w:rPr>
          <w:rFonts w:hint="eastAsia" w:ascii="宋体" w:hAnsi="宋体"/>
          <w:b w:val="0"/>
          <w:bCs/>
          <w:color w:val="auto"/>
          <w:sz w:val="24"/>
          <w:szCs w:val="24"/>
        </w:rPr>
        <w:t xml:space="preserve">供应商全称（公章）：            </w:t>
      </w:r>
    </w:p>
    <w:p>
      <w:pPr>
        <w:snapToGrid w:val="0"/>
        <w:spacing w:line="360" w:lineRule="auto"/>
        <w:rPr>
          <w:rFonts w:ascii="宋体" w:hAnsi="宋体"/>
          <w:b w:val="0"/>
          <w:bCs/>
          <w:color w:val="auto"/>
          <w:sz w:val="24"/>
          <w:szCs w:val="24"/>
        </w:rPr>
      </w:pPr>
      <w:r>
        <w:rPr>
          <w:rFonts w:hint="eastAsia" w:ascii="宋体" w:hAnsi="宋体"/>
          <w:b w:val="0"/>
          <w:bCs/>
          <w:color w:val="auto"/>
          <w:sz w:val="24"/>
          <w:szCs w:val="24"/>
        </w:rPr>
        <w:t>法定代表人</w:t>
      </w:r>
      <w:r>
        <w:rPr>
          <w:rFonts w:hint="eastAsia" w:ascii="宋体" w:hAnsi="宋体"/>
          <w:b w:val="0"/>
          <w:bCs/>
          <w:color w:val="auto"/>
          <w:sz w:val="24"/>
          <w:szCs w:val="24"/>
          <w:lang w:eastAsia="zh-CN"/>
        </w:rPr>
        <w:t>（或被授权代表）</w:t>
      </w:r>
      <w:r>
        <w:rPr>
          <w:rFonts w:hint="eastAsia" w:ascii="宋体" w:hAnsi="宋体"/>
          <w:b w:val="0"/>
          <w:bCs/>
          <w:color w:val="auto"/>
          <w:sz w:val="24"/>
          <w:szCs w:val="24"/>
        </w:rPr>
        <w:t>（签字</w:t>
      </w:r>
      <w:r>
        <w:rPr>
          <w:rFonts w:hint="eastAsia" w:ascii="宋体" w:hAnsi="宋体"/>
          <w:b w:val="0"/>
          <w:bCs/>
          <w:color w:val="auto"/>
          <w:sz w:val="24"/>
          <w:szCs w:val="24"/>
          <w:lang w:eastAsia="zh-CN"/>
        </w:rPr>
        <w:t>或盖章</w:t>
      </w:r>
      <w:r>
        <w:rPr>
          <w:rFonts w:hint="eastAsia" w:ascii="宋体" w:hAnsi="宋体"/>
          <w:b w:val="0"/>
          <w:bCs/>
          <w:color w:val="auto"/>
          <w:sz w:val="24"/>
          <w:szCs w:val="24"/>
        </w:rPr>
        <w:t>）：</w:t>
      </w:r>
    </w:p>
    <w:p>
      <w:pPr>
        <w:tabs>
          <w:tab w:val="left" w:pos="11130"/>
        </w:tabs>
        <w:snapToGrid w:val="0"/>
        <w:spacing w:line="360" w:lineRule="auto"/>
        <w:ind w:firstLine="120" w:firstLineChars="50"/>
        <w:rPr>
          <w:rFonts w:ascii="宋体" w:hAnsi="宋体"/>
          <w:color w:val="auto"/>
          <w:sz w:val="24"/>
          <w:szCs w:val="24"/>
        </w:rPr>
      </w:pPr>
    </w:p>
    <w:p>
      <w:pPr>
        <w:tabs>
          <w:tab w:val="left" w:pos="11130"/>
        </w:tabs>
        <w:snapToGrid w:val="0"/>
        <w:spacing w:line="360" w:lineRule="auto"/>
        <w:ind w:firstLine="120" w:firstLineChars="50"/>
        <w:rPr>
          <w:rFonts w:ascii="宋体" w:hAnsi="宋体"/>
          <w:bCs/>
          <w:color w:val="auto"/>
          <w:sz w:val="24"/>
        </w:rPr>
      </w:pPr>
      <w:r>
        <w:rPr>
          <w:rFonts w:hint="eastAsia" w:ascii="宋体" w:hAnsi="宋体"/>
          <w:b/>
          <w:bCs/>
          <w:color w:val="auto"/>
          <w:sz w:val="24"/>
        </w:rPr>
        <w:t>注：</w:t>
      </w:r>
      <w:r>
        <w:rPr>
          <w:rFonts w:hint="eastAsia" w:ascii="宋体" w:hAnsi="宋体"/>
          <w:bCs/>
          <w:color w:val="auto"/>
          <w:sz w:val="24"/>
        </w:rPr>
        <w:t>1、此表为表样，行数可自行添加，但表式不变。</w:t>
      </w:r>
    </w:p>
    <w:p>
      <w:pPr>
        <w:numPr>
          <w:ilvl w:val="0"/>
          <w:numId w:val="8"/>
        </w:numPr>
        <w:snapToGrid w:val="0"/>
        <w:spacing w:line="360" w:lineRule="auto"/>
        <w:ind w:firstLine="600"/>
        <w:rPr>
          <w:rFonts w:ascii="宋体" w:hAnsi="宋体"/>
          <w:bCs/>
          <w:color w:val="auto"/>
          <w:sz w:val="24"/>
        </w:rPr>
      </w:pPr>
      <w:r>
        <w:rPr>
          <w:rFonts w:hint="eastAsia" w:ascii="宋体" w:hAnsi="宋体"/>
          <w:bCs/>
          <w:color w:val="auto"/>
          <w:sz w:val="24"/>
        </w:rPr>
        <w:t>请在“</w:t>
      </w:r>
      <w:r>
        <w:rPr>
          <w:rFonts w:hint="eastAsia" w:ascii="宋体" w:hAnsi="宋体"/>
          <w:bCs/>
          <w:color w:val="auto"/>
          <w:sz w:val="24"/>
          <w:lang w:eastAsia="zh-CN"/>
        </w:rPr>
        <w:t>用户需求</w:t>
      </w:r>
      <w:r>
        <w:rPr>
          <w:rFonts w:hint="eastAsia" w:ascii="宋体" w:hAnsi="宋体"/>
          <w:bCs/>
          <w:color w:val="auto"/>
          <w:sz w:val="24"/>
        </w:rPr>
        <w:t>” 中</w:t>
      </w:r>
      <w:r>
        <w:rPr>
          <w:rFonts w:hint="eastAsia" w:ascii="宋体" w:hAnsi="宋体"/>
          <w:bCs/>
          <w:color w:val="auto"/>
          <w:sz w:val="24"/>
          <w:lang w:eastAsia="zh-CN"/>
        </w:rPr>
        <w:t>所</w:t>
      </w:r>
      <w:r>
        <w:rPr>
          <w:rFonts w:hint="eastAsia" w:ascii="宋体" w:hAnsi="宋体"/>
          <w:bCs/>
          <w:color w:val="auto"/>
          <w:sz w:val="24"/>
        </w:rPr>
        <w:t>列出所投设备/项目的详细技术参数和功能描述情况，要求将技术参数和功能</w:t>
      </w:r>
      <w:r>
        <w:rPr>
          <w:rFonts w:hint="eastAsia" w:ascii="宋体" w:hAnsi="宋体"/>
          <w:bCs/>
          <w:color w:val="auto"/>
          <w:sz w:val="24"/>
          <w:lang w:eastAsia="zh-CN"/>
        </w:rPr>
        <w:t>逐条</w:t>
      </w:r>
      <w:r>
        <w:rPr>
          <w:rFonts w:hint="eastAsia" w:ascii="宋体" w:hAnsi="宋体"/>
          <w:bCs/>
          <w:color w:val="auto"/>
          <w:sz w:val="24"/>
        </w:rPr>
        <w:t>分别描述，否则将视为不响应或负偏离。</w:t>
      </w:r>
    </w:p>
    <w:p>
      <w:pPr>
        <w:snapToGrid w:val="0"/>
        <w:spacing w:line="360" w:lineRule="auto"/>
        <w:rPr>
          <w:rFonts w:ascii="宋体" w:hAnsi="宋体"/>
          <w:color w:val="auto"/>
          <w:sz w:val="24"/>
        </w:rPr>
      </w:pPr>
      <w:r>
        <w:rPr>
          <w:rFonts w:hint="eastAsia" w:ascii="宋体" w:hAnsi="宋体"/>
          <w:color w:val="auto"/>
          <w:sz w:val="24"/>
        </w:rPr>
        <w:t xml:space="preserve">     3、偏离情况说明分正偏离（+）、完全响应（=）、负偏离（-），分别表示优于要求、满足要求、不满足要求。</w:t>
      </w:r>
    </w:p>
    <w:p>
      <w:pPr>
        <w:spacing w:line="360" w:lineRule="auto"/>
        <w:rPr>
          <w:rFonts w:ascii="宋体" w:hAnsi="宋体"/>
          <w:color w:val="auto"/>
        </w:rPr>
      </w:pPr>
    </w:p>
    <w:p>
      <w:pPr>
        <w:spacing w:line="360" w:lineRule="auto"/>
        <w:rPr>
          <w:rFonts w:ascii="宋体" w:hAnsi="宋体"/>
          <w:color w:val="auto"/>
        </w:rPr>
      </w:pPr>
    </w:p>
    <w:p>
      <w:pPr>
        <w:spacing w:line="360" w:lineRule="auto"/>
        <w:jc w:val="both"/>
        <w:rPr>
          <w:rFonts w:ascii="黑体" w:hAnsi="黑体" w:eastAsia="黑体" w:cs="黑体"/>
          <w:color w:val="auto"/>
          <w:sz w:val="32"/>
          <w:szCs w:val="32"/>
        </w:rPr>
      </w:pPr>
    </w:p>
    <w:p>
      <w:pPr>
        <w:pStyle w:val="9"/>
        <w:spacing w:line="360" w:lineRule="auto"/>
        <w:rPr>
          <w:color w:val="auto"/>
        </w:rPr>
      </w:pPr>
    </w:p>
    <w:p>
      <w:pPr>
        <w:pStyle w:val="37"/>
        <w:spacing w:line="360" w:lineRule="auto"/>
        <w:rPr>
          <w:rFonts w:ascii="黑体" w:hAnsi="黑体" w:eastAsia="黑体" w:cs="黑体"/>
          <w:color w:val="auto"/>
          <w:sz w:val="32"/>
          <w:szCs w:val="32"/>
        </w:rPr>
      </w:pPr>
    </w:p>
    <w:p>
      <w:pPr>
        <w:pStyle w:val="37"/>
        <w:spacing w:line="360" w:lineRule="auto"/>
        <w:ind w:left="0" w:leftChars="0" w:firstLine="0" w:firstLineChars="0"/>
        <w:rPr>
          <w:rFonts w:ascii="黑体" w:hAnsi="黑体" w:eastAsia="黑体" w:cs="黑体"/>
          <w:color w:val="auto"/>
          <w:sz w:val="32"/>
          <w:szCs w:val="32"/>
        </w:rPr>
      </w:pPr>
    </w:p>
    <w:p>
      <w:pPr>
        <w:snapToGrid w:val="0"/>
        <w:spacing w:line="360" w:lineRule="auto"/>
        <w:ind w:firstLine="472" w:firstLineChars="147"/>
        <w:jc w:val="center"/>
        <w:rPr>
          <w:rFonts w:hint="eastAsia" w:ascii="宋体" w:hAnsi="宋体"/>
          <w:b/>
          <w:color w:val="auto"/>
          <w:sz w:val="32"/>
          <w:szCs w:val="22"/>
        </w:rPr>
      </w:pPr>
      <w:r>
        <w:rPr>
          <w:rFonts w:hint="eastAsia" w:ascii="宋体" w:hAnsi="宋体"/>
          <w:b/>
          <w:color w:val="auto"/>
          <w:sz w:val="32"/>
          <w:szCs w:val="22"/>
        </w:rPr>
        <w:t>8、政府采购活动信用记录自查承诺函</w:t>
      </w:r>
    </w:p>
    <w:p>
      <w:pPr>
        <w:spacing w:line="360" w:lineRule="auto"/>
        <w:jc w:val="left"/>
        <w:outlineLvl w:val="1"/>
        <w:rPr>
          <w:rFonts w:ascii="仿宋" w:hAnsi="仿宋" w:eastAsia="仿宋" w:cs="仿宋"/>
          <w:color w:val="auto"/>
          <w:sz w:val="24"/>
        </w:rPr>
      </w:pPr>
    </w:p>
    <w:p>
      <w:pPr>
        <w:spacing w:line="360" w:lineRule="auto"/>
        <w:rPr>
          <w:rFonts w:ascii="宋体" w:hAnsi="宋体" w:cs="宋体"/>
          <w:color w:val="auto"/>
          <w:sz w:val="24"/>
          <w:lang w:val="zh-CN"/>
        </w:rPr>
      </w:pPr>
      <w:r>
        <w:rPr>
          <w:rFonts w:hint="eastAsia" w:ascii="宋体" w:hAnsi="宋体" w:cs="宋体"/>
          <w:color w:val="auto"/>
          <w:sz w:val="24"/>
          <w:lang w:val="zh-CN"/>
        </w:rPr>
        <w:t>海南众采招标代理有限公司：</w:t>
      </w:r>
    </w:p>
    <w:p>
      <w:pPr>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关于本公司（企业）信用情况，经对“信用中国”网站（www.creditchina.gov.cn）中企业信用信息、中国政府采购网（www.ccgp.gov.cn）中“政府采购严重违法失信行为信息记录”的网上查询，截至规定的磋商截止时间，我公司（企业）没有被列入失信被执行人、重大税收违法案件当事人名单、政府采购严重违法失信行为记录名单中。采购人或采购代理机构有权在本项目评审活动结束前对我公司（企业）的信用记录的真实性和有效性进行审查、验证，如我公司（企业）有被列入失信被执行人、重大税收违法案件当事人名单、政府采购严重违法失信行为记录名单中，将作不合格供应商处理。</w:t>
      </w:r>
    </w:p>
    <w:p>
      <w:pPr>
        <w:spacing w:line="360" w:lineRule="auto"/>
        <w:ind w:firstLine="480" w:firstLineChars="200"/>
        <w:rPr>
          <w:rFonts w:ascii="宋体" w:hAnsi="宋体" w:cs="宋体"/>
          <w:color w:val="auto"/>
          <w:sz w:val="24"/>
          <w:lang w:val="zh-CN"/>
        </w:rPr>
      </w:pPr>
    </w:p>
    <w:p>
      <w:pPr>
        <w:spacing w:line="360" w:lineRule="auto"/>
        <w:ind w:firstLine="480" w:firstLineChars="200"/>
        <w:rPr>
          <w:rFonts w:ascii="宋体" w:hAnsi="宋体" w:cs="宋体"/>
          <w:color w:val="auto"/>
          <w:sz w:val="24"/>
          <w:lang w:val="zh-CN"/>
        </w:rPr>
      </w:pPr>
    </w:p>
    <w:p>
      <w:pPr>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特此承诺！</w:t>
      </w:r>
    </w:p>
    <w:p>
      <w:pPr>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相关资格证明材料如下（均提供网站截图加盖公章）：</w:t>
      </w:r>
    </w:p>
    <w:p>
      <w:pPr>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附件</w:t>
      </w:r>
      <w:r>
        <w:rPr>
          <w:rFonts w:hint="eastAsia" w:ascii="宋体" w:hAnsi="宋体" w:cs="宋体"/>
          <w:color w:val="auto"/>
          <w:sz w:val="24"/>
        </w:rPr>
        <w:t>1：</w:t>
      </w:r>
      <w:r>
        <w:rPr>
          <w:rFonts w:hint="eastAsia" w:ascii="宋体" w:hAnsi="宋体" w:cs="宋体"/>
          <w:color w:val="auto"/>
          <w:sz w:val="24"/>
          <w:lang w:val="zh-CN"/>
        </w:rPr>
        <w:t>“信用中国”网站没有被列入失信被执行人、重大税收违法案件当事人名单、政府采购严重违法失信行为记录名单中截图证明；</w:t>
      </w:r>
    </w:p>
    <w:p>
      <w:pPr>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附件</w:t>
      </w:r>
      <w:r>
        <w:rPr>
          <w:rFonts w:hint="eastAsia" w:ascii="宋体" w:hAnsi="宋体" w:cs="宋体"/>
          <w:color w:val="auto"/>
          <w:sz w:val="24"/>
        </w:rPr>
        <w:t>2：</w:t>
      </w:r>
      <w:r>
        <w:rPr>
          <w:rFonts w:hint="eastAsia" w:ascii="宋体" w:hAnsi="宋体" w:cs="宋体"/>
          <w:color w:val="auto"/>
          <w:sz w:val="24"/>
          <w:lang w:val="zh-CN"/>
        </w:rPr>
        <w:t>中国政府采购网（www.ccgp.gov.cn）中“政府采购严重违法失信行为信息记录”截图证明。</w:t>
      </w:r>
    </w:p>
    <w:p>
      <w:pPr>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lang w:val="zh-CN"/>
        </w:rPr>
        <w:t>法定代表人</w:t>
      </w:r>
      <w:r>
        <w:rPr>
          <w:rFonts w:hint="eastAsia" w:ascii="宋体" w:hAnsi="宋体" w:cs="宋体"/>
          <w:color w:val="auto"/>
          <w:sz w:val="24"/>
          <w:lang w:val="zh-CN" w:eastAsia="zh-CN"/>
        </w:rPr>
        <w:t>（或被授权代表）</w:t>
      </w:r>
      <w:r>
        <w:rPr>
          <w:rFonts w:hint="eastAsia" w:ascii="宋体" w:hAnsi="宋体" w:cs="宋体"/>
          <w:color w:val="auto"/>
          <w:sz w:val="24"/>
          <w:lang w:val="zh-CN"/>
        </w:rPr>
        <w:t>（签字或盖章）：</w:t>
      </w:r>
    </w:p>
    <w:p>
      <w:pPr>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供应商名称（加盖公章）：</w:t>
      </w:r>
    </w:p>
    <w:p>
      <w:pPr>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日    期：   年   月  日</w:t>
      </w:r>
    </w:p>
    <w:p>
      <w:pPr>
        <w:widowControl/>
        <w:spacing w:line="360" w:lineRule="auto"/>
        <w:jc w:val="center"/>
        <w:outlineLvl w:val="1"/>
        <w:rPr>
          <w:rFonts w:ascii="宋体" w:hAnsi="宋体" w:cs="宋体"/>
          <w:b/>
          <w:color w:val="auto"/>
          <w:kern w:val="0"/>
          <w:sz w:val="32"/>
          <w:szCs w:val="32"/>
        </w:rPr>
      </w:pPr>
    </w:p>
    <w:p>
      <w:pPr>
        <w:widowControl/>
        <w:spacing w:line="360" w:lineRule="auto"/>
        <w:outlineLvl w:val="1"/>
        <w:rPr>
          <w:rFonts w:ascii="宋体" w:hAnsi="宋体" w:cs="宋体"/>
          <w:b/>
          <w:color w:val="auto"/>
          <w:kern w:val="0"/>
          <w:sz w:val="32"/>
          <w:szCs w:val="32"/>
        </w:rPr>
      </w:pPr>
    </w:p>
    <w:p>
      <w:pPr>
        <w:pStyle w:val="37"/>
        <w:spacing w:line="360" w:lineRule="auto"/>
        <w:rPr>
          <w:color w:val="auto"/>
        </w:rPr>
      </w:pPr>
    </w:p>
    <w:p>
      <w:pPr>
        <w:spacing w:line="360" w:lineRule="auto"/>
        <w:jc w:val="center"/>
        <w:rPr>
          <w:rFonts w:hint="eastAsia" w:ascii="宋体" w:hAnsi="宋体"/>
          <w:b/>
          <w:color w:val="auto"/>
          <w:sz w:val="36"/>
          <w:szCs w:val="36"/>
        </w:rPr>
      </w:pPr>
      <w:bookmarkStart w:id="97" w:name="_Toc1660553"/>
    </w:p>
    <w:p>
      <w:pPr>
        <w:spacing w:line="360" w:lineRule="auto"/>
        <w:jc w:val="center"/>
        <w:rPr>
          <w:rFonts w:hint="eastAsia" w:ascii="宋体" w:hAnsi="宋体"/>
          <w:b/>
          <w:color w:val="auto"/>
          <w:sz w:val="36"/>
          <w:szCs w:val="36"/>
        </w:rPr>
      </w:pPr>
    </w:p>
    <w:p>
      <w:pPr>
        <w:snapToGrid w:val="0"/>
        <w:spacing w:line="360" w:lineRule="auto"/>
        <w:ind w:firstLine="472" w:firstLineChars="147"/>
        <w:jc w:val="center"/>
        <w:rPr>
          <w:rFonts w:hint="eastAsia" w:ascii="宋体" w:hAnsi="宋体"/>
          <w:b/>
          <w:color w:val="auto"/>
          <w:sz w:val="32"/>
          <w:szCs w:val="22"/>
        </w:rPr>
      </w:pPr>
      <w:r>
        <w:rPr>
          <w:rFonts w:hint="eastAsia" w:ascii="宋体" w:hAnsi="宋体"/>
          <w:b/>
          <w:color w:val="auto"/>
          <w:sz w:val="32"/>
          <w:szCs w:val="22"/>
        </w:rPr>
        <w:t>9、中小企业声明函</w:t>
      </w:r>
    </w:p>
    <w:p>
      <w:pPr>
        <w:spacing w:line="360" w:lineRule="auto"/>
        <w:rPr>
          <w:rFonts w:ascii="宋体" w:hAnsi="宋体"/>
          <w:b/>
          <w:color w:val="auto"/>
          <w:spacing w:val="6"/>
          <w:sz w:val="24"/>
        </w:rPr>
      </w:pPr>
    </w:p>
    <w:p>
      <w:pPr>
        <w:spacing w:after="156" w:afterLines="50" w:line="440" w:lineRule="exact"/>
        <w:jc w:val="center"/>
        <w:rPr>
          <w:rFonts w:ascii="宋体" w:hAnsi="宋体" w:cs="宋体"/>
          <w:b/>
          <w:bCs/>
          <w:color w:val="auto"/>
          <w:kern w:val="0"/>
          <w:sz w:val="30"/>
          <w:szCs w:val="30"/>
        </w:rPr>
      </w:pPr>
      <w:r>
        <w:rPr>
          <w:rFonts w:hint="eastAsia" w:ascii="宋体" w:hAnsi="宋体" w:cs="宋体"/>
          <w:b/>
          <w:bCs/>
          <w:color w:val="auto"/>
          <w:kern w:val="0"/>
          <w:sz w:val="30"/>
          <w:szCs w:val="30"/>
        </w:rPr>
        <w:t>中小企业声明函</w:t>
      </w:r>
    </w:p>
    <w:p>
      <w:pPr>
        <w:pStyle w:val="21"/>
        <w:spacing w:line="440" w:lineRule="exact"/>
        <w:ind w:firstLine="480"/>
        <w:rPr>
          <w:color w:val="auto"/>
        </w:rPr>
      </w:pPr>
      <w:r>
        <w:rPr>
          <w:rFonts w:hint="eastAsia"/>
          <w:color w:val="auto"/>
        </w:rPr>
        <w:t>本公司（联合体）郑重声明，根据《政府采购促进中小企业发展管理办法》（财库﹝2020﹞46 号）的规定，本公司（联合体）参加</w:t>
      </w:r>
      <w:r>
        <w:rPr>
          <w:rFonts w:hint="eastAsia"/>
          <w:color w:val="auto"/>
          <w:u w:val="single"/>
        </w:rPr>
        <w:t xml:space="preserve">  （单位名称）   </w:t>
      </w:r>
      <w:r>
        <w:rPr>
          <w:rFonts w:hint="eastAsia"/>
          <w:color w:val="auto"/>
        </w:rPr>
        <w:t>的</w:t>
      </w:r>
      <w:r>
        <w:rPr>
          <w:rFonts w:hint="eastAsia"/>
          <w:color w:val="auto"/>
          <w:u w:val="single"/>
        </w:rPr>
        <w:t xml:space="preserve">（项目名称）  </w:t>
      </w:r>
      <w:r>
        <w:rPr>
          <w:rFonts w:hint="eastAsia"/>
          <w:color w:val="auto"/>
        </w:rPr>
        <w:t xml:space="preserve">采购活动，提供的货物全部由符合政策要求的中小企业制造。相关企业（含联合体中的中小企业、签订分包意向协议的中小企业）的具体情况如下： </w:t>
      </w:r>
    </w:p>
    <w:p>
      <w:pPr>
        <w:pStyle w:val="21"/>
        <w:numPr>
          <w:ilvl w:val="0"/>
          <w:numId w:val="9"/>
        </w:numPr>
        <w:spacing w:line="440" w:lineRule="exact"/>
        <w:ind w:firstLine="480"/>
        <w:rPr>
          <w:color w:val="auto"/>
        </w:rPr>
      </w:pPr>
      <w:r>
        <w:rPr>
          <w:rFonts w:hint="eastAsia"/>
          <w:color w:val="auto"/>
          <w:u w:val="single"/>
        </w:rPr>
        <w:t xml:space="preserve"> （ 标的名称 ）    </w:t>
      </w:r>
      <w:r>
        <w:rPr>
          <w:rFonts w:hint="eastAsia"/>
          <w:color w:val="auto"/>
        </w:rPr>
        <w:t xml:space="preserve"> ，属于</w:t>
      </w:r>
      <w:r>
        <w:rPr>
          <w:rFonts w:hint="eastAsia"/>
          <w:color w:val="auto"/>
          <w:u w:val="single"/>
        </w:rPr>
        <w:t xml:space="preserve">  （ 采购文件中明确的所属行业</w:t>
      </w:r>
      <w:r>
        <w:rPr>
          <w:rFonts w:hint="eastAsia"/>
          <w:color w:val="auto"/>
          <w:u w:val="single"/>
          <w:lang w:eastAsia="zh-CN"/>
        </w:rPr>
        <w:t>：</w:t>
      </w:r>
      <w:r>
        <w:rPr>
          <w:rFonts w:hint="eastAsia"/>
          <w:color w:val="auto"/>
          <w:u w:val="single"/>
        </w:rPr>
        <w:t xml:space="preserve"> ）   </w:t>
      </w:r>
      <w:r>
        <w:rPr>
          <w:rFonts w:hint="eastAsia"/>
          <w:color w:val="auto"/>
        </w:rPr>
        <w:t xml:space="preserve"> ； 制造商为</w:t>
      </w:r>
      <w:r>
        <w:rPr>
          <w:rFonts w:hint="eastAsia"/>
          <w:color w:val="auto"/>
          <w:sz w:val="21"/>
          <w:szCs w:val="21"/>
          <w:u w:val="single"/>
        </w:rPr>
        <w:t xml:space="preserve">   </w:t>
      </w:r>
      <w:r>
        <w:rPr>
          <w:rFonts w:hint="eastAsia"/>
          <w:color w:val="auto"/>
          <w:u w:val="single"/>
        </w:rPr>
        <w:t xml:space="preserve"> （企业名称 ）</w:t>
      </w:r>
      <w:r>
        <w:rPr>
          <w:rFonts w:hint="eastAsia"/>
          <w:color w:val="auto"/>
          <w:sz w:val="21"/>
          <w:szCs w:val="21"/>
          <w:u w:val="single"/>
        </w:rPr>
        <w:t xml:space="preserve">    </w:t>
      </w:r>
      <w:r>
        <w:rPr>
          <w:rFonts w:hint="eastAsia"/>
          <w:color w:val="auto"/>
        </w:rPr>
        <w:t xml:space="preserve"> ，从业人员</w:t>
      </w:r>
      <w:r>
        <w:rPr>
          <w:rFonts w:hint="eastAsia"/>
          <w:color w:val="auto"/>
          <w:u w:val="single"/>
        </w:rPr>
        <w:t xml:space="preserve">     </w:t>
      </w:r>
      <w:r>
        <w:rPr>
          <w:rFonts w:hint="eastAsia"/>
          <w:color w:val="auto"/>
        </w:rPr>
        <w:t>人，营业收入为</w:t>
      </w:r>
      <w:r>
        <w:rPr>
          <w:rFonts w:hint="eastAsia"/>
          <w:color w:val="auto"/>
          <w:u w:val="single"/>
        </w:rPr>
        <w:t xml:space="preserve">        </w:t>
      </w:r>
      <w:r>
        <w:rPr>
          <w:rFonts w:hint="eastAsia"/>
          <w:color w:val="auto"/>
        </w:rPr>
        <w:t>万元，资产总额为</w:t>
      </w:r>
      <w:r>
        <w:rPr>
          <w:rFonts w:hint="eastAsia"/>
          <w:color w:val="auto"/>
          <w:u w:val="single"/>
        </w:rPr>
        <w:t xml:space="preserve">          </w:t>
      </w:r>
      <w:r>
        <w:rPr>
          <w:rFonts w:hint="eastAsia"/>
          <w:color w:val="auto"/>
        </w:rPr>
        <w:t>万元</w:t>
      </w:r>
      <w:r>
        <w:rPr>
          <w:rFonts w:hint="eastAsia"/>
          <w:color w:val="auto"/>
          <w:sz w:val="32"/>
          <w:szCs w:val="32"/>
          <w:vertAlign w:val="superscript"/>
        </w:rPr>
        <w:t>1</w:t>
      </w:r>
      <w:r>
        <w:rPr>
          <w:rFonts w:hint="eastAsia"/>
          <w:color w:val="auto"/>
        </w:rPr>
        <w:t>，属于 （中型企业、 小型企业 、 微型企业）；</w:t>
      </w:r>
    </w:p>
    <w:p>
      <w:pPr>
        <w:spacing w:line="360" w:lineRule="auto"/>
        <w:ind w:firstLine="480"/>
        <w:jc w:val="left"/>
        <w:rPr>
          <w:rFonts w:ascii="宋体" w:hAnsi="宋体" w:cs="宋体"/>
          <w:color w:val="auto"/>
          <w:kern w:val="0"/>
          <w:sz w:val="24"/>
          <w:shd w:val="clear" w:color="auto" w:fill="FFFFFF"/>
        </w:rPr>
      </w:pPr>
      <w:r>
        <w:rPr>
          <w:rFonts w:hint="eastAsia"/>
          <w:color w:val="auto"/>
          <w:sz w:val="24"/>
        </w:rPr>
        <w:t>2.</w:t>
      </w:r>
      <w:r>
        <w:rPr>
          <w:rFonts w:hint="eastAsia"/>
          <w:color w:val="auto"/>
          <w:sz w:val="24"/>
          <w:u w:val="single"/>
        </w:rPr>
        <w:t xml:space="preserve"> （ 标的名称 ）    </w:t>
      </w:r>
      <w:r>
        <w:rPr>
          <w:rFonts w:hint="eastAsia"/>
          <w:color w:val="auto"/>
          <w:sz w:val="24"/>
        </w:rPr>
        <w:t xml:space="preserve"> ，属于</w:t>
      </w:r>
      <w:r>
        <w:rPr>
          <w:rFonts w:hint="eastAsia"/>
          <w:color w:val="auto"/>
          <w:sz w:val="24"/>
          <w:u w:val="single"/>
        </w:rPr>
        <w:t xml:space="preserve">  （ 采购文件中明确的所属行业 ）   </w:t>
      </w:r>
      <w:r>
        <w:rPr>
          <w:rFonts w:hint="eastAsia"/>
          <w:color w:val="auto"/>
          <w:sz w:val="24"/>
        </w:rPr>
        <w:t xml:space="preserve"> ； 制造商为</w:t>
      </w:r>
      <w:r>
        <w:rPr>
          <w:rFonts w:hint="eastAsia"/>
          <w:color w:val="auto"/>
          <w:sz w:val="24"/>
          <w:u w:val="single"/>
        </w:rPr>
        <w:t xml:space="preserve">    （企业名称 ）    </w:t>
      </w:r>
      <w:r>
        <w:rPr>
          <w:rFonts w:hint="eastAsia"/>
          <w:color w:val="auto"/>
          <w:sz w:val="24"/>
        </w:rPr>
        <w:t xml:space="preserve"> ，从业人员</w:t>
      </w:r>
      <w:r>
        <w:rPr>
          <w:rFonts w:hint="eastAsia"/>
          <w:color w:val="auto"/>
          <w:sz w:val="24"/>
          <w:u w:val="single"/>
        </w:rPr>
        <w:t xml:space="preserve">     </w:t>
      </w:r>
      <w:r>
        <w:rPr>
          <w:rFonts w:hint="eastAsia"/>
          <w:color w:val="auto"/>
          <w:sz w:val="24"/>
        </w:rPr>
        <w:t>人，营业收入为</w:t>
      </w:r>
      <w:r>
        <w:rPr>
          <w:rFonts w:hint="eastAsia"/>
          <w:color w:val="auto"/>
          <w:sz w:val="24"/>
          <w:u w:val="single"/>
        </w:rPr>
        <w:t xml:space="preserve">        </w:t>
      </w:r>
      <w:r>
        <w:rPr>
          <w:rFonts w:hint="eastAsia"/>
          <w:color w:val="auto"/>
          <w:sz w:val="24"/>
        </w:rPr>
        <w:t>万元，资产总额为</w:t>
      </w:r>
      <w:r>
        <w:rPr>
          <w:rFonts w:hint="eastAsia"/>
          <w:color w:val="auto"/>
          <w:sz w:val="24"/>
          <w:u w:val="single"/>
        </w:rPr>
        <w:t xml:space="preserve">          </w:t>
      </w:r>
      <w:r>
        <w:rPr>
          <w:rFonts w:hint="eastAsia"/>
          <w:color w:val="auto"/>
          <w:sz w:val="24"/>
        </w:rPr>
        <w:t>万元，属于 （中型企业、 小型企业 、 微型企业）</w:t>
      </w:r>
      <w:r>
        <w:rPr>
          <w:rFonts w:hint="eastAsia" w:ascii="宋体" w:hAnsi="宋体" w:cs="宋体"/>
          <w:color w:val="auto"/>
          <w:kern w:val="0"/>
          <w:sz w:val="24"/>
          <w:shd w:val="clear" w:color="auto" w:fill="FFFFFF"/>
        </w:rPr>
        <w:t>；</w:t>
      </w:r>
    </w:p>
    <w:p>
      <w:pPr>
        <w:spacing w:line="360" w:lineRule="auto"/>
        <w:ind w:firstLine="480"/>
        <w:jc w:val="left"/>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w:t>
      </w:r>
    </w:p>
    <w:p>
      <w:pPr>
        <w:spacing w:line="360" w:lineRule="auto"/>
        <w:ind w:firstLine="480"/>
        <w:jc w:val="left"/>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以上企业，不属于大企业的分支机构，不存在控股股东为大企业的情形，也不存在与大企业的负责人为同一人的情形。</w:t>
      </w:r>
    </w:p>
    <w:p>
      <w:pPr>
        <w:spacing w:line="360" w:lineRule="auto"/>
        <w:ind w:firstLine="480"/>
        <w:jc w:val="left"/>
        <w:rPr>
          <w:rFonts w:ascii="宋体" w:hAnsi="宋体" w:cs="宋体"/>
          <w:color w:val="auto"/>
          <w:szCs w:val="21"/>
        </w:rPr>
      </w:pPr>
      <w:r>
        <w:rPr>
          <w:rFonts w:hint="eastAsia" w:ascii="宋体" w:hAnsi="宋体" w:cs="宋体"/>
          <w:color w:val="auto"/>
          <w:kern w:val="0"/>
          <w:sz w:val="24"/>
          <w:shd w:val="clear" w:color="auto" w:fill="FFFFFF"/>
        </w:rPr>
        <w:t>本企业对上述声明内容的真实性负责。如有虚假，将依法承担相应责任。</w:t>
      </w:r>
    </w:p>
    <w:p>
      <w:pPr>
        <w:spacing w:line="360" w:lineRule="auto"/>
        <w:ind w:firstLine="480"/>
        <w:jc w:val="left"/>
        <w:rPr>
          <w:rFonts w:ascii="宋体" w:hAnsi="宋体" w:cs="宋体"/>
          <w:color w:val="auto"/>
          <w:szCs w:val="21"/>
        </w:rPr>
      </w:pPr>
      <w:r>
        <w:rPr>
          <w:rFonts w:hint="eastAsia" w:ascii="宋体" w:hAnsi="宋体" w:cs="宋体"/>
          <w:color w:val="auto"/>
          <w:kern w:val="0"/>
          <w:sz w:val="24"/>
          <w:shd w:val="clear" w:color="auto" w:fill="FFFFFF"/>
        </w:rPr>
        <w:t> </w:t>
      </w:r>
    </w:p>
    <w:p>
      <w:pPr>
        <w:spacing w:line="360" w:lineRule="auto"/>
        <w:ind w:firstLine="5280"/>
        <w:jc w:val="left"/>
        <w:rPr>
          <w:rFonts w:ascii="宋体" w:hAnsi="宋体" w:cs="宋体"/>
          <w:color w:val="auto"/>
          <w:kern w:val="0"/>
          <w:sz w:val="24"/>
          <w:shd w:val="clear" w:color="auto" w:fill="FFFFFF"/>
        </w:rPr>
      </w:pPr>
    </w:p>
    <w:p>
      <w:pPr>
        <w:spacing w:line="360" w:lineRule="auto"/>
        <w:ind w:firstLine="5280"/>
        <w:jc w:val="left"/>
        <w:rPr>
          <w:rFonts w:ascii="宋体" w:hAnsi="宋体" w:cs="宋体"/>
          <w:color w:val="auto"/>
          <w:szCs w:val="21"/>
        </w:rPr>
      </w:pPr>
      <w:r>
        <w:rPr>
          <w:rFonts w:hint="eastAsia" w:ascii="宋体" w:hAnsi="宋体" w:cs="宋体"/>
          <w:color w:val="auto"/>
          <w:kern w:val="0"/>
          <w:sz w:val="24"/>
          <w:shd w:val="clear" w:color="auto" w:fill="FFFFFF"/>
        </w:rPr>
        <w:t>企业名称（盖章）：</w:t>
      </w:r>
    </w:p>
    <w:p>
      <w:pPr>
        <w:spacing w:line="360" w:lineRule="auto"/>
        <w:jc w:val="left"/>
        <w:rPr>
          <w:rFonts w:ascii="宋体" w:hAnsi="宋体" w:cs="宋体"/>
          <w:color w:val="auto"/>
          <w:szCs w:val="21"/>
        </w:rPr>
      </w:pPr>
      <w:r>
        <w:rPr>
          <w:rFonts w:hint="eastAsia" w:ascii="宋体" w:hAnsi="宋体" w:cs="宋体"/>
          <w:color w:val="auto"/>
          <w:kern w:val="0"/>
          <w:sz w:val="24"/>
          <w:shd w:val="clear" w:color="auto" w:fill="FFFFFF"/>
        </w:rPr>
        <w:t> </w:t>
      </w:r>
    </w:p>
    <w:p>
      <w:pPr>
        <w:spacing w:line="360" w:lineRule="auto"/>
        <w:ind w:firstLine="5280"/>
        <w:jc w:val="left"/>
        <w:rPr>
          <w:rFonts w:ascii="宋体" w:hAnsi="宋体" w:cs="宋体"/>
          <w:b/>
          <w:bCs/>
          <w:color w:val="auto"/>
          <w:sz w:val="24"/>
        </w:rPr>
      </w:pPr>
      <w:r>
        <w:rPr>
          <w:rFonts w:hint="eastAsia" w:ascii="宋体" w:hAnsi="宋体" w:cs="宋体"/>
          <w:color w:val="auto"/>
          <w:kern w:val="0"/>
          <w:sz w:val="24"/>
          <w:shd w:val="clear" w:color="auto" w:fill="FFFFFF"/>
        </w:rPr>
        <w:t>日 期：</w:t>
      </w:r>
    </w:p>
    <w:p>
      <w:pPr>
        <w:spacing w:after="156" w:afterLines="50" w:line="440" w:lineRule="exact"/>
        <w:jc w:val="center"/>
        <w:rPr>
          <w:rFonts w:ascii="宋体" w:hAnsi="宋体" w:cs="宋体"/>
          <w:b/>
          <w:bCs/>
          <w:color w:val="auto"/>
          <w:kern w:val="0"/>
          <w:sz w:val="30"/>
          <w:szCs w:val="30"/>
        </w:rPr>
      </w:pPr>
    </w:p>
    <w:p>
      <w:pPr>
        <w:spacing w:after="156" w:afterLines="50" w:line="440" w:lineRule="exact"/>
        <w:jc w:val="center"/>
        <w:rPr>
          <w:rFonts w:ascii="宋体" w:hAnsi="宋体" w:cs="宋体"/>
          <w:b/>
          <w:bCs/>
          <w:color w:val="auto"/>
          <w:kern w:val="0"/>
          <w:sz w:val="30"/>
          <w:szCs w:val="30"/>
        </w:rPr>
      </w:pPr>
    </w:p>
    <w:p>
      <w:pPr>
        <w:spacing w:line="500" w:lineRule="exact"/>
        <w:ind w:firstLine="480" w:firstLineChars="200"/>
        <w:rPr>
          <w:rFonts w:hint="eastAsia"/>
          <w:color w:val="auto"/>
        </w:rPr>
      </w:pPr>
      <w:r>
        <w:rPr>
          <w:rFonts w:hint="eastAsia" w:ascii="仿宋" w:hAnsi="仿宋" w:cs="仿宋"/>
          <w:color w:val="auto"/>
          <w:sz w:val="24"/>
        </w:rPr>
        <w:t>从业人员、营业收入、资产总额填报上一年度数据，无上一年度数据的新成立企业可不填报。</w:t>
      </w:r>
    </w:p>
    <w:p>
      <w:pPr>
        <w:rPr>
          <w:rFonts w:hint="eastAsia"/>
          <w:color w:val="auto"/>
        </w:rPr>
      </w:pPr>
    </w:p>
    <w:p>
      <w:pPr>
        <w:widowControl/>
        <w:spacing w:line="360" w:lineRule="auto"/>
        <w:jc w:val="center"/>
        <w:outlineLvl w:val="1"/>
        <w:rPr>
          <w:rFonts w:ascii="宋体" w:hAnsi="宋体" w:cs="宋体"/>
          <w:b/>
          <w:color w:val="auto"/>
          <w:sz w:val="32"/>
          <w:szCs w:val="32"/>
        </w:rPr>
      </w:pPr>
      <w:r>
        <w:rPr>
          <w:rFonts w:hint="eastAsia" w:ascii="宋体" w:hAnsi="宋体" w:cs="宋体"/>
          <w:b/>
          <w:color w:val="auto"/>
          <w:kern w:val="0"/>
          <w:sz w:val="32"/>
          <w:szCs w:val="32"/>
        </w:rPr>
        <w:t>10、中小企业（监狱企业）声明函</w:t>
      </w:r>
      <w:bookmarkEnd w:id="97"/>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r>
        <w:rPr>
          <w:rFonts w:hint="eastAsia" w:ascii="宋体" w:hAnsi="宋体" w:cs="宋体"/>
          <w:color w:val="auto"/>
          <w:sz w:val="24"/>
        </w:rPr>
        <w:br w:type="textWrapping"/>
      </w:r>
      <w:r>
        <w:rPr>
          <w:rFonts w:hint="eastAsia" w:ascii="宋体" w:hAnsi="宋体" w:cs="宋体"/>
          <w:color w:val="auto"/>
          <w:sz w:val="24"/>
        </w:rPr>
        <w:t>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r>
        <w:rPr>
          <w:rFonts w:hint="eastAsia" w:ascii="宋体" w:hAnsi="宋体" w:cs="宋体"/>
          <w:color w:val="auto"/>
          <w:sz w:val="24"/>
        </w:rPr>
        <w:br w:type="textWrapping"/>
      </w:r>
      <w:r>
        <w:rPr>
          <w:rFonts w:hint="eastAsia" w:ascii="宋体" w:hAnsi="宋体" w:cs="宋体"/>
          <w:color w:val="auto"/>
          <w:sz w:val="24"/>
        </w:rPr>
        <w:t>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 xml:space="preserve">3、提供中华人民共和国工商行政管理总局官网上“小微企业名录”查询截图（ </w:t>
      </w:r>
      <w:r>
        <w:rPr>
          <w:rFonts w:hint="eastAsia" w:ascii="宋体" w:hAnsi="宋体" w:cs="宋体"/>
          <w:color w:val="auto"/>
          <w:sz w:val="24"/>
        </w:rPr>
        <w:fldChar w:fldCharType="begin"/>
      </w:r>
      <w:r>
        <w:rPr>
          <w:rFonts w:hint="eastAsia" w:ascii="宋体" w:hAnsi="宋体" w:cs="宋体"/>
          <w:color w:val="auto"/>
          <w:sz w:val="24"/>
        </w:rPr>
        <w:instrText xml:space="preserve"> HYPERLINK "http://xwqy.gsxt.gov.cn/））或残疾人福利性单位声明函。如不满足以上三项要求，采购代理机构一律不给予价格评审优惠政策。" </w:instrText>
      </w:r>
      <w:r>
        <w:rPr>
          <w:rFonts w:hint="eastAsia" w:ascii="宋体" w:hAnsi="宋体" w:cs="宋体"/>
          <w:color w:val="auto"/>
          <w:sz w:val="24"/>
        </w:rPr>
        <w:fldChar w:fldCharType="separate"/>
      </w:r>
      <w:r>
        <w:rPr>
          <w:rFonts w:hint="eastAsia" w:ascii="宋体" w:hAnsi="宋体" w:cs="宋体"/>
          <w:color w:val="auto"/>
          <w:sz w:val="24"/>
        </w:rPr>
        <w:t>http://xwqy.gsxt.gov.cn/）</w:t>
      </w:r>
      <w:r>
        <w:rPr>
          <w:rFonts w:hint="eastAsia" w:ascii="宋体" w:hAnsi="宋体" w:cs="宋体"/>
          <w:color w:val="auto"/>
          <w:sz w:val="24"/>
          <w:lang w:val="zh-CN"/>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fldChar w:fldCharType="end"/>
      </w:r>
      <w:r>
        <w:rPr>
          <w:rFonts w:hint="eastAsia" w:ascii="宋体" w:hAnsi="宋体" w:cs="宋体"/>
          <w:color w:val="auto"/>
          <w:sz w:val="24"/>
        </w:rPr>
        <w:br w:type="textWrapping"/>
      </w:r>
      <w:r>
        <w:rPr>
          <w:rFonts w:hint="eastAsia" w:ascii="宋体" w:hAnsi="宋体" w:cs="宋体"/>
          <w:color w:val="auto"/>
          <w:sz w:val="24"/>
        </w:rPr>
        <w:t>　　本公司对上述声明的真实性负责。如有虚假，将依法承担相应责任。</w:t>
      </w:r>
    </w:p>
    <w:p>
      <w:pPr>
        <w:spacing w:line="360" w:lineRule="auto"/>
        <w:jc w:val="left"/>
        <w:rPr>
          <w:rFonts w:ascii="宋体" w:hAnsi="宋体" w:cs="宋体"/>
          <w:b/>
          <w:bCs/>
          <w:color w:val="auto"/>
          <w:sz w:val="24"/>
        </w:rPr>
      </w:pPr>
      <w:r>
        <w:rPr>
          <w:rFonts w:hint="eastAsia" w:ascii="宋体" w:hAnsi="宋体" w:cs="宋体"/>
          <w:b/>
          <w:bCs/>
          <w:color w:val="auto"/>
          <w:sz w:val="24"/>
        </w:rPr>
        <w:t>企业名称（盖章）：</w:t>
      </w:r>
    </w:p>
    <w:p>
      <w:pPr>
        <w:spacing w:line="360" w:lineRule="auto"/>
        <w:jc w:val="left"/>
        <w:rPr>
          <w:rFonts w:ascii="宋体" w:hAnsi="宋体" w:cs="宋体"/>
          <w:b/>
          <w:bCs/>
          <w:color w:val="auto"/>
          <w:sz w:val="24"/>
        </w:rPr>
      </w:pPr>
      <w:r>
        <w:rPr>
          <w:rFonts w:hint="eastAsia" w:ascii="宋体" w:hAnsi="宋体" w:cs="宋体"/>
          <w:b/>
          <w:bCs/>
          <w:color w:val="auto"/>
          <w:sz w:val="24"/>
        </w:rPr>
        <w:t>日   期：</w:t>
      </w:r>
      <w:bookmarkStart w:id="98" w:name="_Toc419811733"/>
      <w:bookmarkStart w:id="99" w:name="_Toc387658050"/>
      <w:bookmarkStart w:id="100" w:name="_Toc413748654"/>
      <w:bookmarkStart w:id="101" w:name="_Toc417911732"/>
      <w:bookmarkStart w:id="102" w:name="_Toc387147344"/>
    </w:p>
    <w:p>
      <w:pPr>
        <w:spacing w:line="360" w:lineRule="auto"/>
        <w:rPr>
          <w:rFonts w:ascii="宋体" w:hAnsi="宋体" w:cs="宋体"/>
          <w:color w:val="auto"/>
          <w:sz w:val="24"/>
        </w:rPr>
      </w:pPr>
      <w:r>
        <w:rPr>
          <w:rFonts w:hint="eastAsia" w:ascii="宋体" w:hAnsi="宋体" w:cs="宋体"/>
          <w:color w:val="auto"/>
          <w:sz w:val="24"/>
        </w:rPr>
        <w:t>注：</w:t>
      </w:r>
      <w:r>
        <w:rPr>
          <w:rFonts w:hint="eastAsia" w:ascii="宋体" w:hAnsi="宋体" w:cs="宋体"/>
          <w:color w:val="auto"/>
          <w:sz w:val="24"/>
          <w:lang w:val="zh-CN"/>
        </w:rPr>
        <w:t>1、供应商符合《工业和信息化部、国家统计局、国家发展和改革委员会、财政</w:t>
      </w:r>
      <w:r>
        <w:rPr>
          <w:rFonts w:hint="eastAsia" w:ascii="宋体" w:hAnsi="宋体" w:cs="宋体"/>
          <w:color w:val="auto"/>
          <w:sz w:val="24"/>
        </w:rPr>
        <w:t>部关于印发中小企业划型标准规定的通知》（工信部联企业〔2011〕300号）或《政府采购支持监狱企业发展有关问题的通知》（财库〔2014〕68号）规定的划分标准为中小型企业或监狱企业适用。</w:t>
      </w:r>
      <w:bookmarkEnd w:id="98"/>
      <w:bookmarkEnd w:id="99"/>
      <w:bookmarkEnd w:id="100"/>
      <w:bookmarkEnd w:id="101"/>
      <w:bookmarkEnd w:id="102"/>
    </w:p>
    <w:p>
      <w:pPr>
        <w:spacing w:line="360" w:lineRule="auto"/>
        <w:rPr>
          <w:rFonts w:ascii="宋体" w:hAnsi="宋体" w:cs="宋体"/>
          <w:color w:val="auto"/>
          <w:sz w:val="24"/>
        </w:rPr>
      </w:pPr>
      <w:r>
        <w:rPr>
          <w:rFonts w:hint="eastAsia" w:ascii="宋体" w:hAnsi="宋体" w:cs="宋体"/>
          <w:color w:val="auto"/>
          <w:sz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spacing w:line="360" w:lineRule="auto"/>
        <w:outlineLvl w:val="1"/>
        <w:rPr>
          <w:rFonts w:ascii="宋体" w:hAnsi="宋体" w:cs="宋体"/>
          <w:b/>
          <w:color w:val="auto"/>
          <w:sz w:val="32"/>
          <w:szCs w:val="32"/>
        </w:rPr>
      </w:pPr>
      <w:bookmarkStart w:id="103" w:name="_Toc1660554"/>
      <w:r>
        <w:rPr>
          <w:rFonts w:hint="eastAsia" w:ascii="宋体" w:hAnsi="宋体" w:cs="宋体"/>
          <w:color w:val="auto"/>
          <w:sz w:val="24"/>
        </w:rPr>
        <w:t>3、供应商为非企业单位的，可不提供此声明。</w:t>
      </w:r>
      <w:bookmarkEnd w:id="103"/>
      <w:bookmarkStart w:id="104" w:name="OLE_LINK14"/>
      <w:bookmarkStart w:id="105" w:name="OLE_LINK13"/>
    </w:p>
    <w:p>
      <w:pPr>
        <w:widowControl/>
        <w:spacing w:line="360" w:lineRule="auto"/>
        <w:jc w:val="center"/>
        <w:outlineLvl w:val="1"/>
        <w:rPr>
          <w:rFonts w:ascii="宋体" w:hAnsi="宋体" w:cs="宋体"/>
          <w:b/>
          <w:color w:val="auto"/>
          <w:kern w:val="0"/>
          <w:sz w:val="32"/>
          <w:szCs w:val="32"/>
        </w:rPr>
      </w:pPr>
      <w:bookmarkStart w:id="106" w:name="_Toc1660555"/>
      <w:r>
        <w:rPr>
          <w:rFonts w:hint="eastAsia" w:ascii="宋体" w:hAnsi="宋体" w:cs="宋体"/>
          <w:b/>
          <w:color w:val="auto"/>
          <w:kern w:val="0"/>
          <w:sz w:val="32"/>
          <w:szCs w:val="32"/>
        </w:rPr>
        <w:t>11、残疾人福利性单位声明函</w:t>
      </w:r>
      <w:bookmarkEnd w:id="106"/>
    </w:p>
    <w:bookmarkEnd w:id="104"/>
    <w:bookmarkEnd w:id="105"/>
    <w:p>
      <w:pPr>
        <w:spacing w:line="360" w:lineRule="auto"/>
        <w:rPr>
          <w:rFonts w:ascii="宋体" w:hAnsi="宋体" w:cs="宋体"/>
          <w:b/>
          <w:color w:val="auto"/>
          <w:spacing w:val="6"/>
          <w:sz w:val="24"/>
        </w:rPr>
      </w:pPr>
    </w:p>
    <w:p>
      <w:pPr>
        <w:spacing w:line="360" w:lineRule="auto"/>
        <w:ind w:firstLine="504" w:firstLineChars="200"/>
        <w:rPr>
          <w:rFonts w:ascii="宋体" w:hAnsi="宋体" w:cs="宋体"/>
          <w:color w:val="auto"/>
          <w:spacing w:val="6"/>
          <w:sz w:val="24"/>
        </w:rPr>
      </w:pPr>
      <w:r>
        <w:rPr>
          <w:rFonts w:hint="eastAsia" w:ascii="宋体" w:hAnsi="宋体" w:cs="宋体"/>
          <w:color w:val="auto"/>
          <w:spacing w:val="6"/>
          <w:sz w:val="24"/>
        </w:rPr>
        <w:t>本单位郑重声明，根据《财政部 民政部 中国残疾人联合会关于促进残疾人就业政府采购政策的通知》（财库</w:t>
      </w:r>
      <w:r>
        <w:rPr>
          <w:rFonts w:hint="eastAsia" w:ascii="宋体" w:hAnsi="宋体" w:cs="宋体"/>
          <w:color w:val="auto"/>
          <w:sz w:val="24"/>
        </w:rPr>
        <w:t>〔2017〕 141</w:t>
      </w:r>
      <w:r>
        <w:rPr>
          <w:rFonts w:hint="eastAsia" w:ascii="宋体" w:hAnsi="宋体" w:cs="宋体"/>
          <w:color w:val="auto"/>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cs="宋体"/>
          <w:color w:val="auto"/>
          <w:spacing w:val="6"/>
          <w:sz w:val="24"/>
        </w:rPr>
      </w:pPr>
      <w:r>
        <w:rPr>
          <w:rFonts w:hint="eastAsia" w:ascii="宋体" w:hAnsi="宋体" w:cs="宋体"/>
          <w:color w:val="auto"/>
          <w:spacing w:val="6"/>
          <w:sz w:val="24"/>
        </w:rPr>
        <w:t>本单位对上述声明的真实性负责。如有虚假，将依法承担相应责任。</w:t>
      </w:r>
    </w:p>
    <w:p>
      <w:pPr>
        <w:spacing w:line="360" w:lineRule="auto"/>
        <w:rPr>
          <w:rFonts w:ascii="宋体" w:hAnsi="宋体" w:cs="宋体"/>
          <w:color w:val="auto"/>
          <w:spacing w:val="6"/>
          <w:sz w:val="24"/>
        </w:rPr>
      </w:pPr>
    </w:p>
    <w:p>
      <w:pPr>
        <w:spacing w:line="360" w:lineRule="auto"/>
        <w:rPr>
          <w:rFonts w:ascii="宋体" w:hAnsi="宋体" w:cs="宋体"/>
          <w:color w:val="auto"/>
          <w:spacing w:val="6"/>
          <w:sz w:val="24"/>
        </w:rPr>
      </w:pPr>
    </w:p>
    <w:p>
      <w:pPr>
        <w:tabs>
          <w:tab w:val="left" w:pos="4860"/>
        </w:tabs>
        <w:spacing w:line="360" w:lineRule="auto"/>
        <w:ind w:right="1560"/>
        <w:rPr>
          <w:rFonts w:ascii="宋体" w:hAnsi="宋体" w:cs="宋体"/>
          <w:b/>
          <w:bCs/>
          <w:color w:val="auto"/>
          <w:spacing w:val="6"/>
          <w:sz w:val="24"/>
        </w:rPr>
      </w:pPr>
      <w:r>
        <w:rPr>
          <w:rFonts w:hint="eastAsia" w:ascii="宋体" w:hAnsi="宋体" w:cs="宋体"/>
          <w:b/>
          <w:bCs/>
          <w:color w:val="auto"/>
          <w:spacing w:val="6"/>
          <w:sz w:val="24"/>
        </w:rPr>
        <w:t>单位名称（盖章）：</w:t>
      </w:r>
    </w:p>
    <w:p>
      <w:pPr>
        <w:spacing w:line="360" w:lineRule="auto"/>
        <w:rPr>
          <w:rFonts w:ascii="宋体" w:hAnsi="宋体" w:cs="宋体"/>
          <w:b/>
          <w:bCs/>
          <w:color w:val="auto"/>
          <w:spacing w:val="6"/>
          <w:sz w:val="24"/>
        </w:rPr>
      </w:pPr>
    </w:p>
    <w:p>
      <w:pPr>
        <w:spacing w:line="360" w:lineRule="auto"/>
        <w:rPr>
          <w:rFonts w:ascii="宋体" w:hAnsi="宋体" w:cs="宋体"/>
          <w:b/>
          <w:bCs/>
          <w:color w:val="auto"/>
          <w:spacing w:val="6"/>
          <w:sz w:val="24"/>
        </w:rPr>
      </w:pPr>
      <w:r>
        <w:rPr>
          <w:rFonts w:hint="eastAsia" w:ascii="宋体" w:hAnsi="宋体" w:cs="宋体"/>
          <w:b/>
          <w:bCs/>
          <w:color w:val="auto"/>
          <w:spacing w:val="6"/>
          <w:sz w:val="24"/>
        </w:rPr>
        <w:t>日  期：</w:t>
      </w: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注：</w:t>
      </w:r>
    </w:p>
    <w:p>
      <w:pPr>
        <w:numPr>
          <w:ilvl w:val="0"/>
          <w:numId w:val="10"/>
        </w:numPr>
        <w:spacing w:line="360" w:lineRule="auto"/>
        <w:rPr>
          <w:rFonts w:ascii="宋体" w:hAnsi="宋体" w:cs="宋体"/>
          <w:color w:val="auto"/>
          <w:sz w:val="24"/>
        </w:rPr>
      </w:pPr>
      <w:r>
        <w:rPr>
          <w:rFonts w:hint="eastAsia" w:ascii="宋体" w:hAnsi="宋体" w:cs="宋体"/>
          <w:color w:val="auto"/>
          <w:sz w:val="24"/>
        </w:rPr>
        <w:t>残疾人福利性单位视同小型、微型企业，享受预留份额、评审中价格扣除等促进中小企业发展的政府采购政策。残疾人福利性单位属于小型、微型企业的，不重复享受政策。</w:t>
      </w:r>
    </w:p>
    <w:p>
      <w:pPr>
        <w:numPr>
          <w:ilvl w:val="0"/>
          <w:numId w:val="10"/>
        </w:numPr>
        <w:spacing w:line="360" w:lineRule="auto"/>
        <w:rPr>
          <w:rFonts w:ascii="宋体" w:hAnsi="宋体" w:cs="宋体"/>
          <w:bCs/>
          <w:color w:val="auto"/>
          <w:sz w:val="24"/>
        </w:rPr>
      </w:pPr>
      <w:r>
        <w:rPr>
          <w:rFonts w:hint="eastAsia" w:ascii="宋体" w:hAnsi="宋体" w:cs="宋体"/>
          <w:color w:val="auto"/>
          <w:sz w:val="24"/>
        </w:rPr>
        <w:t>供应商为非残疾人福利性单位的，可不提供此声明。</w:t>
      </w:r>
    </w:p>
    <w:p>
      <w:pPr>
        <w:widowControl/>
        <w:spacing w:line="360" w:lineRule="auto"/>
        <w:jc w:val="center"/>
        <w:outlineLvl w:val="1"/>
        <w:rPr>
          <w:rFonts w:ascii="宋体" w:hAnsi="宋体" w:cs="宋体"/>
          <w:b/>
          <w:color w:val="auto"/>
          <w:kern w:val="0"/>
          <w:sz w:val="32"/>
          <w:szCs w:val="32"/>
        </w:rPr>
      </w:pPr>
    </w:p>
    <w:p>
      <w:pPr>
        <w:widowControl/>
        <w:spacing w:line="360" w:lineRule="auto"/>
        <w:jc w:val="center"/>
        <w:outlineLvl w:val="1"/>
        <w:rPr>
          <w:rFonts w:ascii="宋体" w:hAnsi="宋体" w:cs="宋体"/>
          <w:b/>
          <w:color w:val="auto"/>
          <w:kern w:val="0"/>
          <w:sz w:val="32"/>
          <w:szCs w:val="32"/>
        </w:rPr>
      </w:pPr>
    </w:p>
    <w:p>
      <w:pPr>
        <w:widowControl/>
        <w:spacing w:line="360" w:lineRule="auto"/>
        <w:outlineLvl w:val="1"/>
        <w:rPr>
          <w:rFonts w:ascii="宋体" w:hAnsi="宋体" w:cs="宋体"/>
          <w:b/>
          <w:color w:val="auto"/>
          <w:kern w:val="0"/>
          <w:sz w:val="32"/>
          <w:szCs w:val="32"/>
        </w:rPr>
      </w:pPr>
    </w:p>
    <w:p>
      <w:pPr>
        <w:pStyle w:val="7"/>
        <w:rPr>
          <w:rFonts w:hint="eastAsia"/>
          <w:color w:val="auto"/>
        </w:rPr>
      </w:pPr>
    </w:p>
    <w:p>
      <w:pPr>
        <w:widowControl/>
        <w:spacing w:line="360" w:lineRule="auto"/>
        <w:jc w:val="center"/>
        <w:outlineLvl w:val="1"/>
        <w:rPr>
          <w:rFonts w:hint="eastAsia" w:ascii="宋体" w:hAnsi="宋体" w:cs="宋体"/>
          <w:b/>
          <w:color w:val="auto"/>
          <w:kern w:val="0"/>
          <w:sz w:val="32"/>
          <w:szCs w:val="32"/>
        </w:rPr>
      </w:pPr>
    </w:p>
    <w:p>
      <w:pPr>
        <w:widowControl/>
        <w:spacing w:line="360" w:lineRule="auto"/>
        <w:jc w:val="center"/>
        <w:outlineLvl w:val="1"/>
        <w:rPr>
          <w:rFonts w:ascii="宋体" w:hAnsi="宋体" w:cs="宋体"/>
          <w:b/>
          <w:color w:val="auto"/>
          <w:kern w:val="0"/>
          <w:sz w:val="32"/>
          <w:szCs w:val="32"/>
        </w:rPr>
      </w:pPr>
      <w:r>
        <w:rPr>
          <w:rFonts w:hint="eastAsia" w:ascii="宋体" w:hAnsi="宋体" w:cs="宋体"/>
          <w:b/>
          <w:color w:val="auto"/>
          <w:kern w:val="0"/>
          <w:sz w:val="32"/>
          <w:szCs w:val="32"/>
        </w:rPr>
        <w:t>1</w:t>
      </w:r>
      <w:r>
        <w:rPr>
          <w:rFonts w:hint="eastAsia" w:ascii="宋体" w:hAnsi="宋体" w:cs="宋体"/>
          <w:b/>
          <w:color w:val="auto"/>
          <w:kern w:val="0"/>
          <w:sz w:val="32"/>
          <w:szCs w:val="32"/>
          <w:lang w:val="en-US" w:eastAsia="zh-CN"/>
        </w:rPr>
        <w:t>2</w:t>
      </w:r>
      <w:r>
        <w:rPr>
          <w:rFonts w:hint="eastAsia" w:ascii="宋体" w:hAnsi="宋体" w:cs="宋体"/>
          <w:b/>
          <w:color w:val="auto"/>
          <w:kern w:val="0"/>
          <w:sz w:val="32"/>
          <w:szCs w:val="32"/>
        </w:rPr>
        <w:t>、其他材料</w:t>
      </w:r>
    </w:p>
    <w:p>
      <w:pPr>
        <w:spacing w:line="360" w:lineRule="auto"/>
        <w:jc w:val="both"/>
        <w:outlineLvl w:val="0"/>
        <w:rPr>
          <w:rFonts w:ascii="宋体" w:hAnsi="宋体"/>
          <w:b/>
          <w:color w:val="auto"/>
          <w:sz w:val="44"/>
          <w:szCs w:val="44"/>
        </w:rPr>
      </w:pPr>
    </w:p>
    <w:p>
      <w:pPr>
        <w:pStyle w:val="12"/>
        <w:rPr>
          <w:rFonts w:ascii="宋体" w:hAnsi="宋体"/>
          <w:b/>
          <w:color w:val="auto"/>
          <w:sz w:val="44"/>
          <w:szCs w:val="44"/>
        </w:rPr>
      </w:pPr>
    </w:p>
    <w:p>
      <w:pPr>
        <w:pStyle w:val="14"/>
        <w:rPr>
          <w:rFonts w:ascii="宋体" w:hAnsi="宋体"/>
          <w:b/>
          <w:color w:val="auto"/>
          <w:sz w:val="44"/>
          <w:szCs w:val="44"/>
        </w:rPr>
      </w:pPr>
    </w:p>
    <w:p>
      <w:pPr>
        <w:rPr>
          <w:rFonts w:ascii="宋体" w:hAnsi="宋体"/>
          <w:b/>
          <w:color w:val="auto"/>
          <w:sz w:val="44"/>
          <w:szCs w:val="44"/>
        </w:rPr>
      </w:pPr>
    </w:p>
    <w:p>
      <w:pPr>
        <w:pStyle w:val="12"/>
        <w:rPr>
          <w:rFonts w:ascii="宋体" w:hAnsi="宋体"/>
          <w:b/>
          <w:color w:val="auto"/>
          <w:sz w:val="44"/>
          <w:szCs w:val="44"/>
        </w:rPr>
      </w:pPr>
    </w:p>
    <w:p>
      <w:pPr>
        <w:pStyle w:val="14"/>
        <w:rPr>
          <w:rFonts w:ascii="宋体" w:hAnsi="宋体"/>
          <w:b/>
          <w:color w:val="auto"/>
          <w:sz w:val="44"/>
          <w:szCs w:val="44"/>
        </w:rPr>
      </w:pPr>
    </w:p>
    <w:p>
      <w:pPr>
        <w:rPr>
          <w:rFonts w:ascii="宋体" w:hAnsi="宋体"/>
          <w:b/>
          <w:color w:val="auto"/>
          <w:sz w:val="44"/>
          <w:szCs w:val="44"/>
        </w:rPr>
      </w:pPr>
    </w:p>
    <w:p>
      <w:pPr>
        <w:pStyle w:val="12"/>
        <w:rPr>
          <w:rFonts w:ascii="宋体" w:hAnsi="宋体"/>
          <w:b/>
          <w:color w:val="auto"/>
          <w:sz w:val="44"/>
          <w:szCs w:val="44"/>
        </w:rPr>
      </w:pPr>
    </w:p>
    <w:p>
      <w:pPr>
        <w:pStyle w:val="14"/>
        <w:rPr>
          <w:rFonts w:ascii="宋体" w:hAnsi="宋体"/>
          <w:b/>
          <w:color w:val="auto"/>
          <w:sz w:val="44"/>
          <w:szCs w:val="44"/>
        </w:rPr>
      </w:pPr>
    </w:p>
    <w:p>
      <w:pPr>
        <w:rPr>
          <w:rFonts w:ascii="宋体" w:hAnsi="宋体"/>
          <w:b/>
          <w:color w:val="auto"/>
          <w:sz w:val="44"/>
          <w:szCs w:val="44"/>
        </w:rPr>
      </w:pPr>
    </w:p>
    <w:p>
      <w:pPr>
        <w:pStyle w:val="12"/>
        <w:rPr>
          <w:rFonts w:ascii="宋体" w:hAnsi="宋体"/>
          <w:b/>
          <w:color w:val="auto"/>
          <w:sz w:val="44"/>
          <w:szCs w:val="44"/>
        </w:rPr>
      </w:pPr>
    </w:p>
    <w:p>
      <w:pPr>
        <w:pStyle w:val="14"/>
        <w:rPr>
          <w:rFonts w:ascii="宋体" w:hAnsi="宋体"/>
          <w:b/>
          <w:color w:val="auto"/>
          <w:sz w:val="44"/>
          <w:szCs w:val="44"/>
        </w:rPr>
      </w:pPr>
    </w:p>
    <w:p>
      <w:pPr>
        <w:rPr>
          <w:rFonts w:ascii="宋体" w:hAnsi="宋体"/>
          <w:b/>
          <w:color w:val="auto"/>
          <w:sz w:val="44"/>
          <w:szCs w:val="44"/>
        </w:rPr>
      </w:pPr>
    </w:p>
    <w:p>
      <w:pPr>
        <w:pStyle w:val="12"/>
        <w:rPr>
          <w:rFonts w:ascii="宋体" w:hAnsi="宋体"/>
          <w:b/>
          <w:color w:val="auto"/>
          <w:sz w:val="44"/>
          <w:szCs w:val="44"/>
        </w:rPr>
      </w:pPr>
    </w:p>
    <w:p>
      <w:pPr>
        <w:pStyle w:val="14"/>
        <w:rPr>
          <w:rFonts w:ascii="宋体" w:hAnsi="宋体"/>
          <w:b/>
          <w:color w:val="auto"/>
          <w:sz w:val="44"/>
          <w:szCs w:val="44"/>
        </w:rPr>
      </w:pPr>
    </w:p>
    <w:p>
      <w:pPr>
        <w:rPr>
          <w:rFonts w:ascii="宋体" w:hAnsi="宋体"/>
          <w:b/>
          <w:color w:val="auto"/>
          <w:sz w:val="44"/>
          <w:szCs w:val="44"/>
        </w:rPr>
      </w:pPr>
    </w:p>
    <w:p>
      <w:pPr>
        <w:pStyle w:val="7"/>
        <w:rPr>
          <w:color w:val="auto"/>
        </w:rPr>
      </w:pPr>
    </w:p>
    <w:p>
      <w:pPr>
        <w:rPr>
          <w:color w:val="auto"/>
        </w:rPr>
      </w:pPr>
      <w:r>
        <w:rPr>
          <w:color w:val="auto"/>
        </w:rPr>
        <w:br w:type="page"/>
      </w:r>
    </w:p>
    <w:p>
      <w:pPr>
        <w:pStyle w:val="8"/>
        <w:spacing w:line="360" w:lineRule="auto"/>
        <w:ind w:firstLine="0"/>
        <w:jc w:val="center"/>
        <w:rPr>
          <w:rFonts w:hint="eastAsia" w:ascii="宋体" w:hAnsi="宋体"/>
          <w:b/>
          <w:color w:val="auto"/>
          <w:sz w:val="32"/>
          <w:szCs w:val="22"/>
          <w:lang w:eastAsia="zh-CN"/>
        </w:rPr>
      </w:pPr>
      <w:r>
        <w:rPr>
          <w:rFonts w:hint="eastAsia" w:ascii="宋体" w:hAnsi="宋体"/>
          <w:b/>
          <w:color w:val="auto"/>
          <w:sz w:val="32"/>
          <w:szCs w:val="22"/>
          <w:lang w:eastAsia="zh-CN"/>
        </w:rPr>
        <w:t>最终报价表</w:t>
      </w:r>
    </w:p>
    <w:p>
      <w:pPr>
        <w:pStyle w:val="8"/>
        <w:spacing w:line="360" w:lineRule="auto"/>
        <w:ind w:firstLine="0"/>
        <w:rPr>
          <w:rFonts w:hint="eastAsia" w:ascii="宋体" w:hAnsi="宋体" w:eastAsia="宋体"/>
          <w:bCs/>
          <w:color w:val="auto"/>
          <w:sz w:val="24"/>
          <w:szCs w:val="24"/>
          <w:lang w:eastAsia="zh-CN"/>
        </w:rPr>
      </w:pPr>
      <w:r>
        <w:rPr>
          <w:rFonts w:hint="eastAsia" w:ascii="宋体" w:hAnsi="宋体"/>
          <w:bCs/>
          <w:color w:val="auto"/>
          <w:sz w:val="24"/>
          <w:szCs w:val="24"/>
        </w:rPr>
        <w:t>项目名称：</w:t>
      </w:r>
      <w:r>
        <w:rPr>
          <w:rFonts w:hint="eastAsia" w:ascii="宋体" w:hAnsi="宋体"/>
          <w:bCs/>
          <w:color w:val="auto"/>
          <w:sz w:val="24"/>
          <w:szCs w:val="24"/>
          <w:lang w:eastAsia="zh-CN"/>
        </w:rPr>
        <w:t>白沙黎族自治县公安局特种技术用车采购项目</w:t>
      </w:r>
    </w:p>
    <w:p>
      <w:pPr>
        <w:spacing w:line="360" w:lineRule="auto"/>
        <w:rPr>
          <w:rFonts w:hint="eastAsia" w:ascii="宋体" w:hAnsi="宋体" w:eastAsia="宋体"/>
          <w:color w:val="auto"/>
          <w:sz w:val="24"/>
          <w:lang w:eastAsia="zh-CN"/>
        </w:rPr>
      </w:pPr>
      <w:r>
        <w:rPr>
          <w:rFonts w:hint="eastAsia" w:ascii="宋体" w:hAnsi="宋体"/>
          <w:color w:val="auto"/>
          <w:sz w:val="24"/>
        </w:rPr>
        <w:t>项目编号：</w:t>
      </w:r>
      <w:r>
        <w:rPr>
          <w:rFonts w:hint="eastAsia" w:ascii="宋体" w:hAnsi="宋体"/>
          <w:color w:val="auto"/>
          <w:sz w:val="24"/>
          <w:lang w:eastAsia="zh-CN"/>
        </w:rPr>
        <w:t>HNZC2023-ZB-055</w:t>
      </w:r>
    </w:p>
    <w:p>
      <w:pPr>
        <w:spacing w:line="360" w:lineRule="auto"/>
        <w:jc w:val="right"/>
        <w:rPr>
          <w:rFonts w:ascii="宋体" w:hAnsi="宋体" w:cs="宋体"/>
          <w:bCs/>
          <w:color w:val="auto"/>
          <w:sz w:val="24"/>
        </w:rPr>
      </w:pPr>
      <w:r>
        <w:rPr>
          <w:rFonts w:hint="eastAsia" w:ascii="宋体" w:hAnsi="宋体"/>
          <w:color w:val="auto"/>
          <w:sz w:val="24"/>
        </w:rPr>
        <w:t>金额单位：元</w:t>
      </w:r>
      <w:r>
        <w:rPr>
          <w:rFonts w:hint="eastAsia" w:ascii="宋体" w:hAnsi="宋体" w:cs="宋体"/>
          <w:bCs/>
          <w:color w:val="auto"/>
          <w:sz w:val="24"/>
        </w:rPr>
        <w:t xml:space="preserve">                       </w:t>
      </w:r>
    </w:p>
    <w:tbl>
      <w:tblPr>
        <w:tblStyle w:val="24"/>
        <w:tblW w:w="8882" w:type="dxa"/>
        <w:jc w:val="center"/>
        <w:tblLayout w:type="fixed"/>
        <w:tblCellMar>
          <w:top w:w="0" w:type="dxa"/>
          <w:left w:w="30" w:type="dxa"/>
          <w:bottom w:w="0" w:type="dxa"/>
          <w:right w:w="30" w:type="dxa"/>
        </w:tblCellMar>
      </w:tblPr>
      <w:tblGrid>
        <w:gridCol w:w="2331"/>
        <w:gridCol w:w="6551"/>
      </w:tblGrid>
      <w:tr>
        <w:trPr>
          <w:cantSplit/>
          <w:trHeight w:val="807" w:hRule="exact"/>
          <w:jc w:val="center"/>
        </w:trPr>
        <w:tc>
          <w:tcPr>
            <w:tcW w:w="2331" w:type="dxa"/>
            <w:vMerge w:val="restart"/>
            <w:tcBorders>
              <w:top w:val="single" w:color="auto" w:sz="6" w:space="0"/>
              <w:left w:val="single" w:color="auto" w:sz="6" w:space="0"/>
              <w:right w:val="single" w:color="auto" w:sz="6" w:space="0"/>
            </w:tcBorders>
            <w:vAlign w:val="center"/>
          </w:tcPr>
          <w:p>
            <w:pPr>
              <w:spacing w:line="360" w:lineRule="auto"/>
              <w:rPr>
                <w:rFonts w:ascii="宋体" w:hAnsi="宋体" w:cs="宋体"/>
                <w:bCs/>
                <w:color w:val="auto"/>
                <w:sz w:val="24"/>
                <w:szCs w:val="22"/>
              </w:rPr>
            </w:pPr>
            <w:r>
              <w:rPr>
                <w:rFonts w:hint="eastAsia" w:ascii="宋体" w:hAnsi="宋体" w:cs="宋体"/>
                <w:bCs/>
                <w:color w:val="auto"/>
                <w:sz w:val="24"/>
                <w:szCs w:val="22"/>
              </w:rPr>
              <w:t>本项目投标总报价</w:t>
            </w:r>
          </w:p>
          <w:p>
            <w:pPr>
              <w:spacing w:line="360" w:lineRule="auto"/>
              <w:rPr>
                <w:rFonts w:ascii="宋体" w:hAnsi="宋体" w:cs="宋体"/>
                <w:bCs/>
                <w:color w:val="auto"/>
                <w:sz w:val="24"/>
                <w:szCs w:val="22"/>
              </w:rPr>
            </w:pPr>
            <w:r>
              <w:rPr>
                <w:rFonts w:hint="eastAsia" w:ascii="宋体" w:hAnsi="宋体" w:cs="宋体"/>
                <w:bCs/>
                <w:color w:val="auto"/>
                <w:sz w:val="24"/>
                <w:szCs w:val="22"/>
              </w:rPr>
              <w:t>（大小写一致）</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bCs/>
                <w:color w:val="auto"/>
                <w:sz w:val="24"/>
                <w:szCs w:val="22"/>
              </w:rPr>
            </w:pPr>
            <w:r>
              <w:rPr>
                <w:rFonts w:hint="eastAsia" w:ascii="宋体" w:hAnsi="宋体" w:cs="宋体"/>
                <w:bCs/>
                <w:color w:val="auto"/>
                <w:sz w:val="24"/>
                <w:szCs w:val="22"/>
              </w:rPr>
              <w:t>（小写）：</w:t>
            </w:r>
          </w:p>
        </w:tc>
      </w:tr>
      <w:tr>
        <w:tblPrEx>
          <w:tblCellMar>
            <w:top w:w="0" w:type="dxa"/>
            <w:left w:w="30" w:type="dxa"/>
            <w:bottom w:w="0" w:type="dxa"/>
            <w:right w:w="30" w:type="dxa"/>
          </w:tblCellMar>
        </w:tblPrEx>
        <w:trPr>
          <w:cantSplit/>
          <w:trHeight w:val="655" w:hRule="exact"/>
          <w:jc w:val="center"/>
        </w:trPr>
        <w:tc>
          <w:tcPr>
            <w:tcW w:w="2331" w:type="dxa"/>
            <w:vMerge w:val="continue"/>
            <w:tcBorders>
              <w:left w:val="single" w:color="auto" w:sz="6" w:space="0"/>
              <w:bottom w:val="single" w:color="auto" w:sz="4" w:space="0"/>
              <w:right w:val="single" w:color="auto" w:sz="6" w:space="0"/>
            </w:tcBorders>
            <w:vAlign w:val="center"/>
          </w:tcPr>
          <w:p>
            <w:pPr>
              <w:spacing w:line="360" w:lineRule="auto"/>
              <w:rPr>
                <w:rFonts w:ascii="宋体" w:hAnsi="宋体" w:cs="宋体"/>
                <w:bCs/>
                <w:color w:val="auto"/>
                <w:sz w:val="24"/>
                <w:szCs w:val="22"/>
              </w:rPr>
            </w:pP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bCs/>
                <w:color w:val="auto"/>
                <w:sz w:val="24"/>
                <w:szCs w:val="22"/>
              </w:rPr>
            </w:pPr>
            <w:r>
              <w:rPr>
                <w:rFonts w:hint="eastAsia" w:ascii="宋体" w:hAnsi="宋体" w:cs="宋体"/>
                <w:bCs/>
                <w:color w:val="auto"/>
                <w:sz w:val="24"/>
                <w:szCs w:val="22"/>
              </w:rPr>
              <w:t>（大写）：</w:t>
            </w:r>
          </w:p>
        </w:tc>
      </w:tr>
      <w:tr>
        <w:tblPrEx>
          <w:tblCellMar>
            <w:top w:w="0" w:type="dxa"/>
            <w:left w:w="30" w:type="dxa"/>
            <w:bottom w:w="0" w:type="dxa"/>
            <w:right w:w="30" w:type="dxa"/>
          </w:tblCellMar>
        </w:tblPrEx>
        <w:trPr>
          <w:cantSplit/>
          <w:trHeight w:val="838"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spacing w:line="360" w:lineRule="auto"/>
              <w:rPr>
                <w:rFonts w:hint="eastAsia" w:ascii="宋体" w:hAnsi="宋体" w:eastAsia="宋体" w:cs="宋体"/>
                <w:bCs/>
                <w:color w:val="auto"/>
                <w:sz w:val="24"/>
                <w:szCs w:val="22"/>
                <w:lang w:eastAsia="zh-CN"/>
              </w:rPr>
            </w:pPr>
            <w:r>
              <w:rPr>
                <w:rFonts w:hint="eastAsia" w:ascii="宋体" w:hAnsi="宋体" w:cs="宋体"/>
                <w:bCs/>
                <w:color w:val="auto"/>
                <w:sz w:val="24"/>
                <w:szCs w:val="22"/>
                <w:lang w:eastAsia="zh-CN"/>
              </w:rPr>
              <w:t>交货期</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bCs/>
                <w:color w:val="auto"/>
                <w:sz w:val="24"/>
                <w:szCs w:val="22"/>
              </w:rPr>
            </w:pPr>
          </w:p>
        </w:tc>
      </w:tr>
      <w:tr>
        <w:tblPrEx>
          <w:tblCellMar>
            <w:top w:w="0" w:type="dxa"/>
            <w:left w:w="30" w:type="dxa"/>
            <w:bottom w:w="0" w:type="dxa"/>
            <w:right w:w="30" w:type="dxa"/>
          </w:tblCellMar>
        </w:tblPrEx>
        <w:trPr>
          <w:cantSplit/>
          <w:trHeight w:val="805"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spacing w:line="360" w:lineRule="auto"/>
              <w:rPr>
                <w:rFonts w:ascii="宋体" w:hAnsi="宋体" w:cs="宋体"/>
                <w:bCs/>
                <w:color w:val="auto"/>
                <w:sz w:val="24"/>
                <w:szCs w:val="22"/>
              </w:rPr>
            </w:pPr>
            <w:r>
              <w:rPr>
                <w:rFonts w:hint="eastAsia" w:ascii="宋体" w:hAnsi="宋体" w:cs="宋体"/>
                <w:bCs/>
                <w:color w:val="auto"/>
                <w:sz w:val="24"/>
                <w:szCs w:val="22"/>
                <w:lang w:eastAsia="zh-CN"/>
              </w:rPr>
              <w:t>交货</w:t>
            </w:r>
            <w:r>
              <w:rPr>
                <w:rFonts w:hint="eastAsia" w:ascii="宋体" w:hAnsi="宋体" w:cs="宋体"/>
                <w:bCs/>
                <w:color w:val="auto"/>
                <w:sz w:val="24"/>
                <w:szCs w:val="22"/>
              </w:rPr>
              <w:t>地点</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bCs/>
                <w:color w:val="auto"/>
                <w:sz w:val="24"/>
                <w:szCs w:val="22"/>
              </w:rPr>
            </w:pPr>
            <w:r>
              <w:rPr>
                <w:rFonts w:hint="eastAsia" w:ascii="宋体" w:hAnsi="宋体" w:cs="宋体"/>
                <w:bCs/>
                <w:color w:val="auto"/>
                <w:sz w:val="24"/>
                <w:szCs w:val="22"/>
              </w:rPr>
              <w:t>采购人指定</w:t>
            </w:r>
          </w:p>
        </w:tc>
      </w:tr>
    </w:tbl>
    <w:p>
      <w:pPr>
        <w:spacing w:line="360" w:lineRule="auto"/>
        <w:ind w:firstLine="240" w:firstLineChars="100"/>
        <w:outlineLvl w:val="1"/>
        <w:rPr>
          <w:rFonts w:ascii="宋体" w:hAnsi="宋体" w:cs="宋体"/>
          <w:bCs/>
          <w:color w:val="auto"/>
          <w:sz w:val="24"/>
        </w:rPr>
      </w:pPr>
      <w:r>
        <w:rPr>
          <w:rFonts w:hint="eastAsia" w:ascii="宋体" w:hAnsi="宋体" w:cs="宋体"/>
          <w:bCs/>
          <w:color w:val="auto"/>
          <w:sz w:val="24"/>
        </w:rPr>
        <w:t>注：1</w:t>
      </w:r>
      <w:r>
        <w:rPr>
          <w:rFonts w:hint="eastAsia" w:ascii="宋体" w:hAnsi="宋体" w:cs="宋体"/>
          <w:color w:val="auto"/>
          <w:sz w:val="24"/>
        </w:rPr>
        <w:t>、</w:t>
      </w:r>
      <w:r>
        <w:rPr>
          <w:rFonts w:hint="eastAsia" w:ascii="宋体" w:hAnsi="宋体" w:cs="宋体"/>
          <w:bCs/>
          <w:color w:val="auto"/>
          <w:sz w:val="24"/>
        </w:rPr>
        <w:t xml:space="preserve"> 报价须是最终用户验收合格后的总价，否则视为不合格投标人。</w:t>
      </w:r>
    </w:p>
    <w:p>
      <w:pPr>
        <w:spacing w:line="360" w:lineRule="auto"/>
        <w:ind w:firstLine="720" w:firstLineChars="300"/>
        <w:outlineLvl w:val="1"/>
        <w:rPr>
          <w:rFonts w:hint="eastAsia" w:ascii="宋体" w:hAnsi="宋体" w:cs="宋体"/>
          <w:bCs/>
          <w:color w:val="auto"/>
          <w:sz w:val="24"/>
        </w:rPr>
      </w:pPr>
      <w:r>
        <w:rPr>
          <w:rFonts w:hint="eastAsia" w:ascii="宋体" w:hAnsi="宋体" w:cs="宋体"/>
          <w:color w:val="auto"/>
          <w:sz w:val="24"/>
        </w:rPr>
        <w:t>2、投标人报价应包含：货物运输</w:t>
      </w:r>
      <w:r>
        <w:rPr>
          <w:rFonts w:hint="eastAsia" w:ascii="宋体" w:hAnsi="宋体" w:cs="宋体"/>
          <w:color w:val="auto"/>
          <w:sz w:val="24"/>
          <w:lang w:eastAsia="zh-CN"/>
        </w:rPr>
        <w:t>装卸</w:t>
      </w:r>
      <w:r>
        <w:rPr>
          <w:rFonts w:hint="eastAsia" w:ascii="宋体" w:hAnsi="宋体" w:cs="宋体"/>
          <w:color w:val="auto"/>
          <w:sz w:val="24"/>
        </w:rPr>
        <w:t>、设备安装</w:t>
      </w:r>
      <w:r>
        <w:rPr>
          <w:rFonts w:hint="eastAsia" w:ascii="宋体" w:hAnsi="宋体" w:cs="宋体"/>
          <w:color w:val="auto"/>
          <w:sz w:val="24"/>
          <w:lang w:eastAsia="zh-CN"/>
        </w:rPr>
        <w:t>调试</w:t>
      </w:r>
      <w:r>
        <w:rPr>
          <w:rFonts w:hint="eastAsia" w:ascii="宋体" w:hAnsi="宋体" w:cs="宋体"/>
          <w:color w:val="auto"/>
          <w:sz w:val="24"/>
        </w:rPr>
        <w:t>、</w:t>
      </w:r>
      <w:r>
        <w:rPr>
          <w:rFonts w:hint="eastAsia" w:ascii="宋体" w:hAnsi="宋体" w:cs="宋体"/>
          <w:color w:val="auto"/>
          <w:sz w:val="24"/>
          <w:lang w:eastAsia="zh-CN"/>
        </w:rPr>
        <w:t>税费、</w:t>
      </w:r>
      <w:r>
        <w:rPr>
          <w:rFonts w:hint="eastAsia" w:ascii="宋体" w:hAnsi="宋体" w:cs="宋体"/>
          <w:color w:val="auto"/>
          <w:sz w:val="24"/>
        </w:rPr>
        <w:t>售后等服务</w:t>
      </w:r>
      <w:r>
        <w:rPr>
          <w:rFonts w:hint="eastAsia" w:ascii="宋体" w:hAnsi="宋体" w:cs="宋体"/>
          <w:bCs/>
          <w:color w:val="auto"/>
          <w:sz w:val="24"/>
        </w:rPr>
        <w:t xml:space="preserve"> </w:t>
      </w:r>
    </w:p>
    <w:p>
      <w:pPr>
        <w:spacing w:line="360" w:lineRule="auto"/>
        <w:ind w:firstLine="561"/>
        <w:outlineLvl w:val="1"/>
        <w:rPr>
          <w:rFonts w:ascii="宋体" w:hAnsi="宋体" w:cs="宋体"/>
          <w:bCs/>
          <w:color w:val="auto"/>
          <w:sz w:val="24"/>
        </w:rPr>
      </w:pPr>
      <w:r>
        <w:rPr>
          <w:rFonts w:hint="eastAsia" w:ascii="宋体" w:hAnsi="宋体" w:cs="宋体"/>
          <w:bCs/>
          <w:color w:val="auto"/>
          <w:sz w:val="24"/>
        </w:rPr>
        <w:t xml:space="preserve"> 3</w:t>
      </w:r>
      <w:r>
        <w:rPr>
          <w:rFonts w:hint="eastAsia" w:ascii="宋体" w:hAnsi="宋体" w:cs="宋体"/>
          <w:color w:val="auto"/>
          <w:sz w:val="24"/>
        </w:rPr>
        <w:t>、</w:t>
      </w:r>
      <w:r>
        <w:rPr>
          <w:rFonts w:hint="eastAsia" w:ascii="宋体" w:hAnsi="宋体" w:cs="宋体"/>
          <w:bCs/>
          <w:color w:val="auto"/>
          <w:sz w:val="24"/>
        </w:rPr>
        <w:t>“</w:t>
      </w:r>
      <w:r>
        <w:rPr>
          <w:rFonts w:hint="eastAsia" w:ascii="宋体" w:hAnsi="宋体" w:cs="宋体"/>
          <w:bCs/>
          <w:color w:val="auto"/>
          <w:sz w:val="24"/>
          <w:lang w:eastAsia="zh-CN"/>
        </w:rPr>
        <w:t>最终报价表</w:t>
      </w:r>
      <w:r>
        <w:rPr>
          <w:rFonts w:hint="eastAsia" w:ascii="宋体" w:hAnsi="宋体" w:cs="宋体"/>
          <w:bCs/>
          <w:color w:val="auto"/>
          <w:sz w:val="24"/>
        </w:rPr>
        <w:t>”为多页的，每页均需由授权代表签字并盖投标人印章。</w:t>
      </w:r>
    </w:p>
    <w:p>
      <w:pPr>
        <w:spacing w:line="360" w:lineRule="auto"/>
        <w:ind w:firstLine="480" w:firstLineChars="200"/>
        <w:rPr>
          <w:rFonts w:ascii="宋体" w:hAnsi="宋体" w:cs="宋体"/>
          <w:color w:val="auto"/>
          <w:sz w:val="24"/>
        </w:rPr>
      </w:pPr>
      <w:r>
        <w:rPr>
          <w:rFonts w:hint="eastAsia" w:ascii="宋体" w:hAnsi="宋体" w:cs="宋体"/>
          <w:color w:val="auto"/>
          <w:sz w:val="24"/>
        </w:rPr>
        <w:t>法定代表人</w:t>
      </w:r>
      <w:r>
        <w:rPr>
          <w:rFonts w:hint="eastAsia" w:ascii="宋体" w:hAnsi="宋体" w:cs="宋体"/>
          <w:color w:val="auto"/>
          <w:sz w:val="24"/>
          <w:lang w:eastAsia="zh-CN"/>
        </w:rPr>
        <w:t>（或被授权代表）</w:t>
      </w:r>
      <w:r>
        <w:rPr>
          <w:rFonts w:hint="eastAsia" w:ascii="宋体" w:hAnsi="宋体" w:cs="宋体"/>
          <w:color w:val="auto"/>
          <w:sz w:val="24"/>
        </w:rPr>
        <w:t>（签字</w:t>
      </w:r>
      <w:r>
        <w:rPr>
          <w:rFonts w:hint="eastAsia" w:ascii="宋体" w:hAnsi="宋体" w:cs="宋体"/>
          <w:color w:val="auto"/>
          <w:sz w:val="24"/>
          <w:lang w:eastAsia="zh-CN"/>
        </w:rPr>
        <w:t>及盖章</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供应商名称：         （盖章）</w:t>
      </w:r>
    </w:p>
    <w:p>
      <w:pPr>
        <w:spacing w:line="360" w:lineRule="auto"/>
        <w:ind w:firstLine="480" w:firstLineChars="200"/>
        <w:rPr>
          <w:rFonts w:hint="eastAsia" w:ascii="宋体" w:hAnsi="宋体"/>
          <w:b/>
          <w:color w:val="auto"/>
          <w:sz w:val="32"/>
        </w:rPr>
      </w:pPr>
      <w:r>
        <w:rPr>
          <w:rFonts w:hint="eastAsia" w:ascii="宋体" w:hAnsi="宋体" w:cs="宋体"/>
          <w:color w:val="auto"/>
          <w:sz w:val="24"/>
        </w:rPr>
        <w:t>日    期：   年   月  日</w:t>
      </w:r>
    </w:p>
    <w:p/>
    <w:p>
      <w:pPr>
        <w:rPr>
          <w:rFonts w:hint="eastAsia" w:ascii="宋体" w:hAnsi="宋体" w:eastAsia="宋体" w:cs="黑体"/>
          <w:color w:val="auto"/>
        </w:rPr>
      </w:pPr>
      <w:bookmarkStart w:id="107" w:name="_Toc1660556"/>
      <w:r>
        <w:rPr>
          <w:rFonts w:hint="eastAsia" w:ascii="宋体" w:hAnsi="宋体" w:eastAsia="宋体" w:cs="黑体"/>
          <w:color w:val="auto"/>
        </w:rPr>
        <w:br w:type="page"/>
      </w:r>
    </w:p>
    <w:p>
      <w:pPr>
        <w:pStyle w:val="7"/>
        <w:spacing w:line="360" w:lineRule="auto"/>
        <w:jc w:val="center"/>
        <w:rPr>
          <w:rFonts w:ascii="宋体" w:hAnsi="宋体" w:eastAsia="宋体" w:cs="黑体"/>
          <w:color w:val="auto"/>
        </w:rPr>
      </w:pPr>
      <w:r>
        <w:rPr>
          <w:rFonts w:hint="eastAsia" w:ascii="宋体" w:hAnsi="宋体" w:eastAsia="宋体" w:cs="黑体"/>
          <w:color w:val="auto"/>
        </w:rPr>
        <w:t>第六章、评审办法</w:t>
      </w:r>
      <w:bookmarkEnd w:id="107"/>
    </w:p>
    <w:p>
      <w:pPr>
        <w:numPr>
          <w:ilvl w:val="0"/>
          <w:numId w:val="11"/>
        </w:numPr>
        <w:tabs>
          <w:tab w:val="left" w:pos="720"/>
        </w:tabs>
        <w:spacing w:line="360" w:lineRule="auto"/>
        <w:ind w:right="-105" w:rightChars="-50"/>
        <w:jc w:val="left"/>
        <w:rPr>
          <w:rFonts w:ascii="宋体" w:hAnsi="宋体"/>
          <w:b/>
          <w:color w:val="auto"/>
          <w:sz w:val="28"/>
          <w:szCs w:val="28"/>
        </w:rPr>
      </w:pPr>
      <w:r>
        <w:rPr>
          <w:rFonts w:hint="eastAsia" w:ascii="宋体" w:hAnsi="宋体"/>
          <w:b/>
          <w:color w:val="auto"/>
          <w:sz w:val="28"/>
          <w:szCs w:val="28"/>
        </w:rPr>
        <w:t>评审原则</w:t>
      </w:r>
    </w:p>
    <w:p>
      <w:pPr>
        <w:tabs>
          <w:tab w:val="left" w:pos="420"/>
          <w:tab w:val="left" w:pos="720"/>
        </w:tabs>
        <w:spacing w:line="360" w:lineRule="auto"/>
        <w:ind w:firstLine="480" w:firstLineChars="200"/>
        <w:jc w:val="left"/>
        <w:rPr>
          <w:rFonts w:ascii="宋体" w:hAnsi="宋体"/>
          <w:color w:val="auto"/>
          <w:sz w:val="24"/>
          <w:szCs w:val="24"/>
        </w:rPr>
      </w:pPr>
      <w:r>
        <w:rPr>
          <w:rFonts w:hint="eastAsia" w:ascii="宋体" w:hAnsi="宋体"/>
          <w:color w:val="auto"/>
          <w:sz w:val="24"/>
          <w:szCs w:val="24"/>
        </w:rPr>
        <w:t>1、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tabs>
          <w:tab w:val="left" w:pos="420"/>
          <w:tab w:val="left" w:pos="720"/>
        </w:tabs>
        <w:spacing w:line="360" w:lineRule="auto"/>
        <w:ind w:firstLine="480" w:firstLineChars="200"/>
        <w:jc w:val="left"/>
        <w:rPr>
          <w:rFonts w:ascii="宋体" w:hAnsi="宋体"/>
          <w:color w:val="auto"/>
          <w:sz w:val="24"/>
          <w:szCs w:val="24"/>
        </w:rPr>
      </w:pPr>
      <w:r>
        <w:rPr>
          <w:rFonts w:hint="eastAsia" w:ascii="宋体" w:hAnsi="宋体"/>
          <w:color w:val="auto"/>
          <w:sz w:val="24"/>
          <w:szCs w:val="24"/>
        </w:rPr>
        <w:t>2、本次评审是以谈判文件，报价文件和谈判承诺文件和最终报价（即二次报价）为依据，按公正、科学、客观、平等竞争的要求，</w:t>
      </w:r>
      <w:r>
        <w:rPr>
          <w:rFonts w:hint="eastAsia" w:ascii="宋体" w:hAnsi="宋体"/>
          <w:color w:val="auto"/>
          <w:sz w:val="24"/>
        </w:rPr>
        <w:t>谈判小组从质量和服务均能满足采购文件实质性响应要求的供应商中，按照最后报价由低到高的顺序提出3名（含）以上成交候选人。</w:t>
      </w:r>
    </w:p>
    <w:p>
      <w:pPr>
        <w:tabs>
          <w:tab w:val="left" w:pos="420"/>
          <w:tab w:val="left" w:pos="720"/>
        </w:tabs>
        <w:spacing w:line="360" w:lineRule="auto"/>
        <w:ind w:firstLine="480" w:firstLineChars="200"/>
        <w:jc w:val="left"/>
        <w:rPr>
          <w:rFonts w:ascii="宋体" w:hAnsi="宋体"/>
          <w:color w:val="auto"/>
          <w:sz w:val="24"/>
          <w:szCs w:val="24"/>
        </w:rPr>
      </w:pPr>
      <w:r>
        <w:rPr>
          <w:rFonts w:hint="eastAsia" w:ascii="宋体" w:hAnsi="宋体"/>
          <w:color w:val="auto"/>
          <w:sz w:val="24"/>
          <w:szCs w:val="24"/>
        </w:rPr>
        <w:t>3、参加谈判工作的所有人员应遵守《中华人民共和国政府采购法》以及国家和地方政府采购的有关规定，严格保密，确保竞争性谈判工作公平、公正，任何单位和个人不得无理干预谈判小组的正常工作。</w:t>
      </w:r>
    </w:p>
    <w:p>
      <w:pPr>
        <w:numPr>
          <w:ilvl w:val="0"/>
          <w:numId w:val="11"/>
        </w:numPr>
        <w:tabs>
          <w:tab w:val="left" w:pos="720"/>
        </w:tabs>
        <w:spacing w:line="360" w:lineRule="auto"/>
        <w:ind w:right="-105" w:rightChars="-50"/>
        <w:jc w:val="left"/>
        <w:rPr>
          <w:rFonts w:ascii="宋体" w:hAnsi="宋体" w:cs="宋体"/>
          <w:b/>
          <w:color w:val="auto"/>
          <w:sz w:val="24"/>
        </w:rPr>
      </w:pPr>
      <w:r>
        <w:rPr>
          <w:rFonts w:hint="eastAsia" w:ascii="宋体" w:hAnsi="宋体"/>
          <w:b/>
          <w:color w:val="auto"/>
          <w:sz w:val="28"/>
          <w:szCs w:val="28"/>
        </w:rPr>
        <w:t>评审程序和评审方法</w:t>
      </w:r>
    </w:p>
    <w:p>
      <w:pPr>
        <w:tabs>
          <w:tab w:val="left" w:pos="720"/>
        </w:tabs>
        <w:spacing w:line="360" w:lineRule="auto"/>
        <w:ind w:left="418" w:leftChars="199" w:right="-105" w:rightChars="-50"/>
        <w:jc w:val="left"/>
        <w:rPr>
          <w:rFonts w:ascii="宋体" w:hAnsi="宋体"/>
          <w:color w:val="auto"/>
          <w:sz w:val="24"/>
          <w:szCs w:val="24"/>
        </w:rPr>
      </w:pPr>
      <w:r>
        <w:rPr>
          <w:rFonts w:hint="eastAsia" w:ascii="宋体" w:hAnsi="宋体"/>
          <w:color w:val="auto"/>
          <w:sz w:val="24"/>
          <w:szCs w:val="24"/>
        </w:rPr>
        <w:t>评审程序分初步评审和谈判。</w:t>
      </w:r>
    </w:p>
    <w:p>
      <w:pPr>
        <w:numPr>
          <w:ilvl w:val="0"/>
          <w:numId w:val="12"/>
        </w:numPr>
        <w:spacing w:line="360" w:lineRule="auto"/>
        <w:jc w:val="left"/>
        <w:rPr>
          <w:rFonts w:ascii="宋体" w:hAnsi="宋体"/>
          <w:b/>
          <w:color w:val="auto"/>
          <w:sz w:val="28"/>
          <w:szCs w:val="28"/>
        </w:rPr>
      </w:pPr>
      <w:r>
        <w:rPr>
          <w:rFonts w:hint="eastAsia" w:ascii="宋体" w:hAnsi="宋体"/>
          <w:b/>
          <w:color w:val="auto"/>
          <w:sz w:val="28"/>
          <w:szCs w:val="28"/>
        </w:rPr>
        <w:t>初步评审</w:t>
      </w:r>
      <w:r>
        <w:rPr>
          <w:rFonts w:hint="eastAsia" w:ascii="宋体" w:hAnsi="宋体"/>
          <w:b/>
          <w:color w:val="auto"/>
          <w:sz w:val="28"/>
          <w:szCs w:val="28"/>
          <w:lang w:eastAsia="zh-CN"/>
        </w:rPr>
        <w:t>、符合性评审</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进入评审程序后，谈判小组先对报价人的报价文件进行初步评审。谈判小组将根据评审办法的规定和</w:t>
      </w:r>
      <w:r>
        <w:rPr>
          <w:rFonts w:hint="eastAsia" w:ascii="宋体" w:hAnsi="宋体"/>
          <w:b/>
          <w:color w:val="auto"/>
          <w:sz w:val="24"/>
          <w:szCs w:val="24"/>
          <w:u w:val="single"/>
        </w:rPr>
        <w:t>初步审</w:t>
      </w:r>
      <w:r>
        <w:rPr>
          <w:rFonts w:hint="eastAsia" w:ascii="宋体" w:hAnsi="宋体"/>
          <w:b/>
          <w:color w:val="auto"/>
          <w:sz w:val="24"/>
          <w:szCs w:val="24"/>
          <w:u w:val="single"/>
          <w:lang w:eastAsia="zh-CN"/>
        </w:rPr>
        <w:t>查、符合性审</w:t>
      </w:r>
      <w:r>
        <w:rPr>
          <w:rFonts w:hint="eastAsia" w:ascii="宋体" w:hAnsi="宋体"/>
          <w:b/>
          <w:color w:val="auto"/>
          <w:sz w:val="24"/>
          <w:szCs w:val="24"/>
          <w:u w:val="single"/>
        </w:rPr>
        <w:t>查表</w:t>
      </w:r>
      <w:r>
        <w:rPr>
          <w:rFonts w:hint="eastAsia" w:ascii="宋体" w:hAnsi="宋体"/>
          <w:color w:val="auto"/>
          <w:sz w:val="24"/>
          <w:szCs w:val="24"/>
        </w:rPr>
        <w:t>的内容，对报价文件进行初步评审。</w:t>
      </w:r>
    </w:p>
    <w:p>
      <w:pPr>
        <w:tabs>
          <w:tab w:val="left" w:pos="720"/>
          <w:tab w:val="left" w:pos="3675"/>
        </w:tabs>
        <w:spacing w:line="360" w:lineRule="auto"/>
        <w:ind w:firstLine="480" w:firstLineChars="200"/>
        <w:jc w:val="left"/>
        <w:rPr>
          <w:rFonts w:ascii="宋体" w:hAnsi="宋体"/>
          <w:color w:val="auto"/>
          <w:sz w:val="24"/>
          <w:szCs w:val="24"/>
        </w:rPr>
      </w:pPr>
      <w:r>
        <w:rPr>
          <w:rFonts w:hint="eastAsia" w:ascii="宋体" w:hAnsi="宋体"/>
          <w:color w:val="auto"/>
          <w:sz w:val="24"/>
          <w:szCs w:val="24"/>
        </w:rPr>
        <w:t>出现下列情况的报价文件将被认定为不满足采购需求而不能通过初步审查：</w:t>
      </w:r>
    </w:p>
    <w:p>
      <w:pPr>
        <w:numPr>
          <w:ilvl w:val="0"/>
          <w:numId w:val="13"/>
        </w:numPr>
        <w:tabs>
          <w:tab w:val="left" w:pos="720"/>
        </w:tabs>
        <w:spacing w:line="360" w:lineRule="auto"/>
        <w:ind w:left="794" w:leftChars="85" w:hanging="616" w:hangingChars="257"/>
        <w:jc w:val="left"/>
        <w:rPr>
          <w:rFonts w:ascii="宋体" w:hAnsi="宋体"/>
          <w:color w:val="auto"/>
          <w:sz w:val="24"/>
          <w:szCs w:val="24"/>
        </w:rPr>
      </w:pPr>
      <w:r>
        <w:rPr>
          <w:rFonts w:hint="eastAsia" w:ascii="宋体" w:hAnsi="宋体"/>
          <w:color w:val="auto"/>
          <w:sz w:val="24"/>
          <w:szCs w:val="24"/>
        </w:rPr>
        <w:t>报价人未提交报价保证金或金额不足、出具的证明不按谈判文件要求的；</w:t>
      </w:r>
    </w:p>
    <w:p>
      <w:pPr>
        <w:numPr>
          <w:ilvl w:val="0"/>
          <w:numId w:val="13"/>
        </w:numPr>
        <w:tabs>
          <w:tab w:val="left" w:pos="720"/>
        </w:tabs>
        <w:spacing w:line="360" w:lineRule="auto"/>
        <w:ind w:left="794" w:leftChars="85" w:hanging="616" w:hangingChars="257"/>
        <w:jc w:val="left"/>
        <w:rPr>
          <w:rFonts w:ascii="宋体" w:hAnsi="宋体"/>
          <w:color w:val="auto"/>
          <w:sz w:val="24"/>
          <w:szCs w:val="24"/>
        </w:rPr>
      </w:pPr>
      <w:r>
        <w:rPr>
          <w:rFonts w:hint="eastAsia" w:ascii="宋体" w:hAnsi="宋体"/>
          <w:color w:val="auto"/>
          <w:sz w:val="24"/>
          <w:szCs w:val="24"/>
        </w:rPr>
        <w:t xml:space="preserve">资格证明文件不全的。 </w:t>
      </w:r>
    </w:p>
    <w:p>
      <w:pPr>
        <w:numPr>
          <w:ilvl w:val="0"/>
          <w:numId w:val="13"/>
        </w:numPr>
        <w:tabs>
          <w:tab w:val="left" w:pos="720"/>
        </w:tabs>
        <w:spacing w:line="360" w:lineRule="auto"/>
        <w:ind w:left="794" w:leftChars="85" w:hanging="616" w:hangingChars="257"/>
        <w:jc w:val="left"/>
        <w:rPr>
          <w:rFonts w:ascii="宋体" w:hAnsi="宋体"/>
          <w:color w:val="auto"/>
          <w:sz w:val="24"/>
          <w:szCs w:val="24"/>
        </w:rPr>
      </w:pPr>
      <w:r>
        <w:rPr>
          <w:rFonts w:hint="eastAsia" w:ascii="宋体" w:hAnsi="宋体"/>
          <w:color w:val="auto"/>
          <w:sz w:val="24"/>
          <w:szCs w:val="24"/>
        </w:rPr>
        <w:t>报价文件无法人代表签字，或签字人无有效的法人代表授权书的；</w:t>
      </w:r>
    </w:p>
    <w:p>
      <w:pPr>
        <w:numPr>
          <w:ilvl w:val="0"/>
          <w:numId w:val="13"/>
        </w:numPr>
        <w:tabs>
          <w:tab w:val="left" w:pos="720"/>
        </w:tabs>
        <w:spacing w:line="360" w:lineRule="auto"/>
        <w:ind w:left="794" w:leftChars="85" w:hanging="616" w:hangingChars="257"/>
        <w:jc w:val="left"/>
        <w:rPr>
          <w:rFonts w:ascii="宋体" w:hAnsi="宋体"/>
          <w:color w:val="auto"/>
          <w:sz w:val="24"/>
          <w:szCs w:val="24"/>
        </w:rPr>
      </w:pPr>
      <w:r>
        <w:rPr>
          <w:rFonts w:hint="eastAsia" w:ascii="宋体" w:hAnsi="宋体"/>
          <w:color w:val="auto"/>
          <w:sz w:val="24"/>
          <w:szCs w:val="24"/>
        </w:rPr>
        <w:t>报价文件有效期不足的；</w:t>
      </w:r>
    </w:p>
    <w:p>
      <w:pPr>
        <w:numPr>
          <w:ilvl w:val="0"/>
          <w:numId w:val="13"/>
        </w:numPr>
        <w:tabs>
          <w:tab w:val="left" w:pos="720"/>
        </w:tabs>
        <w:spacing w:line="360" w:lineRule="auto"/>
        <w:ind w:left="794" w:leftChars="85" w:hanging="616" w:hangingChars="257"/>
        <w:jc w:val="left"/>
        <w:rPr>
          <w:rFonts w:ascii="宋体" w:hAnsi="宋体"/>
          <w:color w:val="auto"/>
          <w:sz w:val="24"/>
          <w:szCs w:val="24"/>
        </w:rPr>
      </w:pPr>
      <w:r>
        <w:rPr>
          <w:rFonts w:hint="eastAsia" w:ascii="宋体" w:hAnsi="宋体"/>
          <w:color w:val="auto"/>
          <w:sz w:val="24"/>
          <w:szCs w:val="24"/>
        </w:rPr>
        <w:t>非固定价格投标的；</w:t>
      </w:r>
    </w:p>
    <w:p>
      <w:pPr>
        <w:numPr>
          <w:ilvl w:val="0"/>
          <w:numId w:val="13"/>
        </w:numPr>
        <w:tabs>
          <w:tab w:val="left" w:pos="720"/>
        </w:tabs>
        <w:spacing w:line="360" w:lineRule="auto"/>
        <w:ind w:left="794" w:leftChars="85" w:hanging="616" w:hangingChars="257"/>
        <w:jc w:val="left"/>
        <w:rPr>
          <w:rFonts w:ascii="宋体" w:hAnsi="宋体"/>
          <w:color w:val="auto"/>
          <w:sz w:val="24"/>
          <w:szCs w:val="24"/>
        </w:rPr>
      </w:pPr>
      <w:r>
        <w:rPr>
          <w:rFonts w:hint="eastAsia" w:ascii="宋体" w:hAnsi="宋体"/>
          <w:color w:val="auto"/>
          <w:sz w:val="24"/>
          <w:szCs w:val="24"/>
        </w:rPr>
        <w:t>不满足谈判文件规定的其它条件的。</w:t>
      </w:r>
    </w:p>
    <w:p>
      <w:pPr>
        <w:spacing w:line="360" w:lineRule="auto"/>
        <w:ind w:left="178" w:leftChars="85" w:firstLine="480" w:firstLineChars="200"/>
        <w:jc w:val="left"/>
        <w:rPr>
          <w:rFonts w:ascii="宋体" w:hAnsi="宋体"/>
          <w:color w:val="auto"/>
          <w:sz w:val="24"/>
          <w:szCs w:val="24"/>
        </w:rPr>
      </w:pPr>
      <w:r>
        <w:rPr>
          <w:rFonts w:hint="eastAsia" w:ascii="宋体" w:hAnsi="宋体"/>
          <w:color w:val="auto"/>
          <w:sz w:val="24"/>
          <w:szCs w:val="24"/>
        </w:rPr>
        <w:t>初步评审采用“一项否决”的原则，只有全部符合要求的才能通过初步评审。</w:t>
      </w:r>
    </w:p>
    <w:p>
      <w:pPr>
        <w:numPr>
          <w:ilvl w:val="0"/>
          <w:numId w:val="12"/>
        </w:numPr>
        <w:spacing w:line="360" w:lineRule="auto"/>
        <w:jc w:val="left"/>
        <w:rPr>
          <w:rFonts w:ascii="宋体" w:hAnsi="宋体"/>
          <w:b/>
          <w:color w:val="auto"/>
          <w:sz w:val="24"/>
          <w:szCs w:val="24"/>
        </w:rPr>
      </w:pPr>
      <w:r>
        <w:rPr>
          <w:rFonts w:hint="eastAsia" w:ascii="宋体" w:hAnsi="宋体"/>
          <w:b/>
          <w:color w:val="auto"/>
          <w:sz w:val="24"/>
          <w:szCs w:val="24"/>
        </w:rPr>
        <w:t>谈判（二次报价）</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按照评审程序的规定，谈判小组阅读通过初步评审的报价人的报价文件，据此与报价人进行技术、商务、服务和价格内容的澄清、修正和谈判，谈判中发现报价人的报价文件资料不清晰或造成理解有歧义时,谈判小组准许其在规定时间内做出解释说明，如不及时做出合理的说明，该报价则将会由于不符合谈判的基本要求而被拒绝。</w:t>
      </w:r>
    </w:p>
    <w:p>
      <w:pPr>
        <w:spacing w:line="360" w:lineRule="auto"/>
        <w:jc w:val="left"/>
        <w:rPr>
          <w:rFonts w:ascii="宋体" w:hAnsi="宋体"/>
          <w:b/>
          <w:color w:val="auto"/>
          <w:sz w:val="24"/>
          <w:szCs w:val="24"/>
        </w:rPr>
      </w:pPr>
      <w:r>
        <w:rPr>
          <w:rFonts w:hint="eastAsia" w:ascii="宋体" w:hAnsi="宋体"/>
          <w:b/>
          <w:color w:val="auto"/>
          <w:sz w:val="24"/>
          <w:szCs w:val="24"/>
        </w:rPr>
        <w:t>3、推荐成交候选人</w:t>
      </w:r>
    </w:p>
    <w:p>
      <w:pPr>
        <w:spacing w:line="360" w:lineRule="auto"/>
        <w:ind w:firstLine="480" w:firstLineChars="200"/>
        <w:jc w:val="left"/>
        <w:rPr>
          <w:rFonts w:ascii="宋体" w:hAnsi="宋体"/>
          <w:b/>
          <w:color w:val="auto"/>
          <w:sz w:val="24"/>
          <w:szCs w:val="24"/>
        </w:rPr>
      </w:pPr>
      <w:r>
        <w:rPr>
          <w:rFonts w:hint="eastAsia" w:ascii="宋体" w:hAnsi="宋体"/>
          <w:color w:val="auto"/>
          <w:sz w:val="24"/>
          <w:szCs w:val="24"/>
        </w:rPr>
        <w:t>（1）有效报价是指通过文件初审的报价人最终报价经价格核对后的评审价格，且不超过采购人的预算。</w:t>
      </w:r>
    </w:p>
    <w:p>
      <w:pPr>
        <w:tabs>
          <w:tab w:val="left" w:pos="720"/>
        </w:tabs>
        <w:spacing w:line="360" w:lineRule="auto"/>
        <w:ind w:firstLine="480" w:firstLineChars="200"/>
        <w:jc w:val="left"/>
        <w:rPr>
          <w:rFonts w:ascii="宋体" w:hAnsi="宋体"/>
          <w:color w:val="auto"/>
          <w:sz w:val="24"/>
          <w:szCs w:val="24"/>
        </w:rPr>
      </w:pPr>
      <w:r>
        <w:rPr>
          <w:rFonts w:hint="eastAsia" w:ascii="宋体" w:hAnsi="宋体"/>
          <w:color w:val="auto"/>
          <w:sz w:val="24"/>
          <w:szCs w:val="24"/>
        </w:rPr>
        <w:t>（2）如果有效报价达到3家或以上，</w:t>
      </w:r>
      <w:r>
        <w:rPr>
          <w:rFonts w:hint="eastAsia" w:ascii="宋体" w:hAnsi="宋体"/>
          <w:color w:val="auto"/>
          <w:sz w:val="24"/>
        </w:rPr>
        <w:t>谈判小组从质量和服务均能满足采购文件实质性响应要求的供应商中，按照最后报价由低到高的顺序提出3名（含）以上成交候选人。</w:t>
      </w:r>
    </w:p>
    <w:p>
      <w:pPr>
        <w:numPr>
          <w:ilvl w:val="0"/>
          <w:numId w:val="11"/>
        </w:numPr>
        <w:spacing w:line="360" w:lineRule="auto"/>
        <w:rPr>
          <w:rFonts w:ascii="宋体" w:hAnsi="宋体"/>
          <w:b/>
          <w:color w:val="auto"/>
          <w:sz w:val="24"/>
          <w:szCs w:val="24"/>
        </w:rPr>
      </w:pPr>
      <w:r>
        <w:rPr>
          <w:rFonts w:hint="eastAsia" w:ascii="宋体" w:hAnsi="宋体"/>
          <w:b/>
          <w:color w:val="auto"/>
          <w:sz w:val="24"/>
          <w:szCs w:val="24"/>
        </w:rPr>
        <w:t>报价的核对</w:t>
      </w:r>
    </w:p>
    <w:p>
      <w:pPr>
        <w:tabs>
          <w:tab w:val="left" w:pos="720"/>
        </w:tabs>
        <w:spacing w:line="360" w:lineRule="auto"/>
        <w:ind w:firstLine="480" w:firstLineChars="200"/>
        <w:jc w:val="left"/>
        <w:rPr>
          <w:rFonts w:ascii="宋体" w:hAnsi="宋体"/>
          <w:color w:val="auto"/>
          <w:sz w:val="24"/>
          <w:szCs w:val="24"/>
        </w:rPr>
      </w:pPr>
      <w:r>
        <w:rPr>
          <w:rFonts w:hint="eastAsia" w:ascii="宋体" w:hAnsi="宋体"/>
          <w:color w:val="auto"/>
          <w:sz w:val="24"/>
          <w:szCs w:val="24"/>
        </w:rPr>
        <w:t>1、谈判小组详细分析、核对价格表，看其是否有计算上或累加上的算术错误，修正错误的原则如下：</w:t>
      </w:r>
    </w:p>
    <w:p>
      <w:pPr>
        <w:tabs>
          <w:tab w:val="left" w:pos="180"/>
          <w:tab w:val="left" w:pos="360"/>
          <w:tab w:val="left" w:pos="720"/>
          <w:tab w:val="left" w:pos="840"/>
        </w:tabs>
        <w:spacing w:line="360" w:lineRule="auto"/>
        <w:ind w:right="-61" w:rightChars="-29" w:firstLine="480" w:firstLineChars="200"/>
        <w:jc w:val="left"/>
        <w:rPr>
          <w:rFonts w:ascii="宋体" w:hAnsi="宋体"/>
          <w:color w:val="auto"/>
          <w:sz w:val="24"/>
          <w:szCs w:val="24"/>
        </w:rPr>
      </w:pPr>
      <w:r>
        <w:rPr>
          <w:rFonts w:hint="eastAsia" w:ascii="宋体" w:hAnsi="宋体"/>
          <w:color w:val="auto"/>
          <w:sz w:val="24"/>
          <w:szCs w:val="24"/>
        </w:rPr>
        <w:t>1.1若用数字表示的金额和用文字表示的金额不一致，以文字表示的金额为准；</w:t>
      </w:r>
    </w:p>
    <w:p>
      <w:pPr>
        <w:tabs>
          <w:tab w:val="left" w:pos="180"/>
          <w:tab w:val="left" w:pos="360"/>
          <w:tab w:val="left" w:pos="720"/>
          <w:tab w:val="left" w:pos="840"/>
        </w:tabs>
        <w:spacing w:line="360" w:lineRule="auto"/>
        <w:ind w:right="-61" w:rightChars="-29" w:firstLine="480" w:firstLineChars="200"/>
        <w:jc w:val="left"/>
        <w:rPr>
          <w:rFonts w:ascii="宋体" w:hAnsi="宋体"/>
          <w:color w:val="auto"/>
          <w:sz w:val="24"/>
          <w:szCs w:val="24"/>
        </w:rPr>
      </w:pPr>
      <w:r>
        <w:rPr>
          <w:rFonts w:hint="eastAsia" w:ascii="宋体" w:hAnsi="宋体"/>
          <w:color w:val="auto"/>
          <w:sz w:val="24"/>
          <w:szCs w:val="24"/>
        </w:rPr>
        <w:t>1.2当单价与数量的乘积与总价不一致时，以单价为准，并修正总价；（小数点明显标示错误的除外）</w:t>
      </w:r>
    </w:p>
    <w:p>
      <w:pPr>
        <w:tabs>
          <w:tab w:val="left" w:pos="720"/>
        </w:tabs>
        <w:spacing w:line="360" w:lineRule="auto"/>
        <w:ind w:firstLine="480" w:firstLineChars="200"/>
        <w:rPr>
          <w:rFonts w:ascii="宋体" w:hAnsi="宋体"/>
          <w:color w:val="auto"/>
          <w:sz w:val="24"/>
          <w:szCs w:val="24"/>
        </w:rPr>
      </w:pPr>
      <w:r>
        <w:rPr>
          <w:rFonts w:hint="eastAsia" w:ascii="宋体" w:hAnsi="宋体"/>
          <w:color w:val="auto"/>
          <w:sz w:val="24"/>
          <w:szCs w:val="24"/>
        </w:rPr>
        <w:t>2、谈判小组将按上述修正错误的方法调整报价文件中的报价，调整后的价格对报价人具有约束力。如果报价人不接受修正后的价格，则其报价将被拒绝。</w:t>
      </w:r>
    </w:p>
    <w:p>
      <w:pPr>
        <w:tabs>
          <w:tab w:val="left" w:pos="180"/>
          <w:tab w:val="left" w:pos="360"/>
          <w:tab w:val="left" w:pos="720"/>
          <w:tab w:val="left" w:pos="840"/>
        </w:tabs>
        <w:spacing w:line="360" w:lineRule="auto"/>
        <w:ind w:right="-61" w:rightChars="-29" w:firstLine="480" w:firstLineChars="200"/>
        <w:jc w:val="left"/>
        <w:rPr>
          <w:rFonts w:ascii="宋体" w:hAnsi="宋体"/>
          <w:color w:val="auto"/>
          <w:sz w:val="24"/>
          <w:szCs w:val="24"/>
        </w:rPr>
      </w:pPr>
      <w:r>
        <w:rPr>
          <w:rFonts w:hint="eastAsia" w:ascii="宋体" w:hAnsi="宋体"/>
          <w:color w:val="auto"/>
          <w:sz w:val="24"/>
          <w:szCs w:val="24"/>
        </w:rPr>
        <w:t>3、投标报价：对中小微企业执行财库【 2011】 181号文件的规定、对监狱企业执行财库【 2014】 68号文件的规定、对残疾人福利性单位执行财库【 2017】 141号文件的规定，对其投标报价按 6%扣除后的价格作为其评标价；不符合财库【 2011】 181号文件的规定企业的产品价格不予扣除。</w:t>
      </w:r>
    </w:p>
    <w:p>
      <w:pPr>
        <w:tabs>
          <w:tab w:val="left" w:pos="180"/>
          <w:tab w:val="left" w:pos="360"/>
          <w:tab w:val="left" w:pos="720"/>
          <w:tab w:val="left" w:pos="840"/>
        </w:tabs>
        <w:spacing w:line="360" w:lineRule="auto"/>
        <w:ind w:right="-61" w:rightChars="-29" w:firstLine="480" w:firstLineChars="200"/>
        <w:jc w:val="left"/>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、节能产品：根据国务院办公厅关于建立政府强制采购节能产品制度的通知在同等条件下优先采购节能产品。</w:t>
      </w:r>
    </w:p>
    <w:p>
      <w:pPr>
        <w:numPr>
          <w:ilvl w:val="0"/>
          <w:numId w:val="11"/>
        </w:numPr>
        <w:spacing w:line="360" w:lineRule="auto"/>
        <w:ind w:right="420" w:rightChars="200"/>
        <w:jc w:val="left"/>
        <w:rPr>
          <w:rFonts w:ascii="宋体" w:hAnsi="宋体"/>
          <w:b/>
          <w:color w:val="auto"/>
          <w:sz w:val="24"/>
          <w:szCs w:val="24"/>
        </w:rPr>
      </w:pPr>
      <w:r>
        <w:rPr>
          <w:rFonts w:hint="eastAsia" w:ascii="宋体" w:hAnsi="宋体"/>
          <w:b/>
          <w:color w:val="auto"/>
          <w:sz w:val="24"/>
          <w:szCs w:val="24"/>
        </w:rPr>
        <w:t>谈判、评审过程的保密性。</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1、接受报价后，直至成交报价人与买方签订合同后止，凡与谈判、审查、澄清、评价、比较、确定成交人意见有关的内容，任何人均不得向报价人及与谈判评审无关的其他人透露。</w:t>
      </w:r>
    </w:p>
    <w:p>
      <w:pPr>
        <w:tabs>
          <w:tab w:val="left" w:pos="720"/>
        </w:tabs>
        <w:spacing w:line="360" w:lineRule="auto"/>
        <w:ind w:firstLine="480" w:firstLineChars="200"/>
        <w:jc w:val="left"/>
        <w:rPr>
          <w:rFonts w:ascii="宋体" w:hAnsi="宋体"/>
          <w:color w:val="auto"/>
          <w:sz w:val="24"/>
          <w:szCs w:val="24"/>
        </w:rPr>
      </w:pPr>
      <w:r>
        <w:rPr>
          <w:rFonts w:hint="eastAsia" w:ascii="宋体" w:hAnsi="宋体"/>
          <w:color w:val="auto"/>
          <w:sz w:val="24"/>
          <w:szCs w:val="24"/>
        </w:rPr>
        <w:t>2、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pPr>
        <w:numPr>
          <w:ilvl w:val="0"/>
          <w:numId w:val="11"/>
        </w:numPr>
        <w:spacing w:line="360" w:lineRule="auto"/>
        <w:ind w:right="420" w:rightChars="200"/>
        <w:jc w:val="left"/>
        <w:rPr>
          <w:rFonts w:ascii="宋体" w:hAnsi="宋体"/>
          <w:b/>
          <w:color w:val="auto"/>
          <w:sz w:val="24"/>
          <w:szCs w:val="24"/>
        </w:rPr>
      </w:pPr>
      <w:r>
        <w:rPr>
          <w:rFonts w:hint="eastAsia" w:ascii="宋体" w:hAnsi="宋体"/>
          <w:b/>
          <w:color w:val="auto"/>
          <w:sz w:val="24"/>
          <w:szCs w:val="24"/>
        </w:rPr>
        <w:t>接受和拒绝任何或所有报价的权利。</w:t>
      </w:r>
    </w:p>
    <w:p>
      <w:pPr>
        <w:tabs>
          <w:tab w:val="left" w:pos="180"/>
          <w:tab w:val="left" w:pos="360"/>
        </w:tabs>
        <w:spacing w:line="360" w:lineRule="auto"/>
        <w:ind w:right="31" w:rightChars="15" w:firstLine="480" w:firstLineChars="200"/>
        <w:jc w:val="left"/>
        <w:rPr>
          <w:rFonts w:ascii="宋体" w:hAnsi="宋体"/>
          <w:color w:val="auto"/>
          <w:sz w:val="24"/>
          <w:szCs w:val="24"/>
        </w:rPr>
      </w:pPr>
      <w:r>
        <w:rPr>
          <w:rFonts w:hint="eastAsia" w:ascii="宋体" w:hAnsi="宋体"/>
          <w:color w:val="auto"/>
          <w:sz w:val="24"/>
          <w:szCs w:val="24"/>
        </w:rPr>
        <w:t>招标人和采购人保留在成交之前任何时候接受或拒绝任何报价，以及宣布竞争性谈判无效或拒绝所有报价的权力，对受影响的报价人不承担任何责任。</w:t>
      </w:r>
    </w:p>
    <w:p>
      <w:pPr>
        <w:numPr>
          <w:ilvl w:val="0"/>
          <w:numId w:val="11"/>
        </w:numPr>
        <w:spacing w:line="360" w:lineRule="auto"/>
        <w:ind w:right="420" w:rightChars="200"/>
        <w:jc w:val="left"/>
        <w:rPr>
          <w:rFonts w:ascii="宋体" w:hAnsi="宋体"/>
          <w:b/>
          <w:color w:val="auto"/>
          <w:sz w:val="24"/>
          <w:szCs w:val="24"/>
        </w:rPr>
      </w:pPr>
      <w:r>
        <w:rPr>
          <w:rFonts w:hint="eastAsia" w:ascii="宋体" w:hAnsi="宋体"/>
          <w:b/>
          <w:color w:val="auto"/>
          <w:sz w:val="24"/>
          <w:szCs w:val="24"/>
        </w:rPr>
        <w:t>变更技术方案的权利。</w:t>
      </w:r>
    </w:p>
    <w:p>
      <w:pPr>
        <w:tabs>
          <w:tab w:val="left" w:pos="180"/>
          <w:tab w:val="left" w:pos="360"/>
        </w:tabs>
        <w:spacing w:line="360" w:lineRule="auto"/>
        <w:ind w:right="31" w:rightChars="15" w:firstLine="480" w:firstLineChars="200"/>
        <w:jc w:val="left"/>
        <w:rPr>
          <w:rFonts w:ascii="宋体" w:hAnsi="宋体"/>
          <w:color w:val="auto"/>
          <w:sz w:val="24"/>
          <w:szCs w:val="24"/>
        </w:rPr>
      </w:pPr>
      <w:r>
        <w:rPr>
          <w:rFonts w:hint="eastAsia" w:ascii="宋体" w:hAnsi="宋体"/>
          <w:color w:val="auto"/>
          <w:sz w:val="24"/>
          <w:szCs w:val="24"/>
        </w:rPr>
        <w:t>在竞争性谈判过程中，采购人有权变更技术方案或采购数量，如果报价人根据采购人提出的变更要求调整方案或价格后未能获得合同，采购人和招标人不承担任何责任。</w:t>
      </w:r>
    </w:p>
    <w:p>
      <w:pPr>
        <w:spacing w:line="360" w:lineRule="auto"/>
        <w:jc w:val="center"/>
        <w:outlineLvl w:val="1"/>
        <w:rPr>
          <w:rFonts w:ascii="宋体" w:hAnsi="宋体"/>
          <w:b/>
          <w:color w:val="auto"/>
          <w:sz w:val="44"/>
          <w:szCs w:val="44"/>
        </w:rPr>
      </w:pPr>
      <w:bookmarkStart w:id="108" w:name="_Toc301182590"/>
      <w:bookmarkStart w:id="109" w:name="_Toc481157517"/>
    </w:p>
    <w:p>
      <w:pPr>
        <w:spacing w:line="360" w:lineRule="auto"/>
        <w:jc w:val="center"/>
        <w:outlineLvl w:val="1"/>
        <w:rPr>
          <w:rFonts w:ascii="宋体" w:hAnsi="宋体"/>
          <w:b/>
          <w:color w:val="auto"/>
          <w:sz w:val="44"/>
          <w:szCs w:val="44"/>
        </w:rPr>
      </w:pPr>
    </w:p>
    <w:p>
      <w:pPr>
        <w:spacing w:line="360" w:lineRule="auto"/>
        <w:jc w:val="center"/>
        <w:outlineLvl w:val="1"/>
        <w:rPr>
          <w:rFonts w:ascii="宋体" w:hAnsi="宋体"/>
          <w:b/>
          <w:color w:val="auto"/>
          <w:sz w:val="44"/>
          <w:szCs w:val="44"/>
        </w:rPr>
      </w:pPr>
    </w:p>
    <w:p>
      <w:pPr>
        <w:spacing w:line="360" w:lineRule="auto"/>
        <w:jc w:val="center"/>
        <w:outlineLvl w:val="1"/>
        <w:rPr>
          <w:rFonts w:ascii="宋体" w:hAnsi="宋体"/>
          <w:b/>
          <w:color w:val="auto"/>
          <w:sz w:val="44"/>
          <w:szCs w:val="44"/>
        </w:rPr>
      </w:pPr>
    </w:p>
    <w:p>
      <w:pPr>
        <w:spacing w:line="360" w:lineRule="auto"/>
        <w:jc w:val="center"/>
        <w:outlineLvl w:val="1"/>
        <w:rPr>
          <w:rFonts w:ascii="宋体" w:hAnsi="宋体"/>
          <w:b/>
          <w:color w:val="auto"/>
          <w:sz w:val="44"/>
          <w:szCs w:val="44"/>
        </w:rPr>
      </w:pPr>
    </w:p>
    <w:p>
      <w:pPr>
        <w:spacing w:line="360" w:lineRule="auto"/>
        <w:jc w:val="center"/>
        <w:outlineLvl w:val="1"/>
        <w:rPr>
          <w:rFonts w:ascii="宋体" w:hAnsi="宋体"/>
          <w:b/>
          <w:color w:val="auto"/>
          <w:sz w:val="44"/>
          <w:szCs w:val="44"/>
        </w:rPr>
      </w:pPr>
    </w:p>
    <w:p>
      <w:pPr>
        <w:spacing w:line="360" w:lineRule="auto"/>
        <w:jc w:val="center"/>
        <w:outlineLvl w:val="1"/>
        <w:rPr>
          <w:rFonts w:ascii="宋体" w:hAnsi="宋体"/>
          <w:b/>
          <w:color w:val="auto"/>
          <w:sz w:val="44"/>
          <w:szCs w:val="44"/>
        </w:rPr>
      </w:pPr>
    </w:p>
    <w:p>
      <w:pPr>
        <w:spacing w:line="360" w:lineRule="auto"/>
        <w:jc w:val="center"/>
        <w:outlineLvl w:val="1"/>
        <w:rPr>
          <w:rFonts w:ascii="宋体" w:hAnsi="宋体"/>
          <w:b/>
          <w:color w:val="auto"/>
          <w:sz w:val="44"/>
          <w:szCs w:val="44"/>
        </w:rPr>
      </w:pPr>
    </w:p>
    <w:p>
      <w:pPr>
        <w:spacing w:line="360" w:lineRule="auto"/>
        <w:jc w:val="center"/>
        <w:outlineLvl w:val="1"/>
        <w:rPr>
          <w:rFonts w:ascii="宋体" w:hAnsi="宋体"/>
          <w:b/>
          <w:color w:val="auto"/>
          <w:sz w:val="44"/>
          <w:szCs w:val="44"/>
        </w:rPr>
      </w:pPr>
    </w:p>
    <w:p>
      <w:pPr>
        <w:spacing w:line="360" w:lineRule="auto"/>
        <w:jc w:val="center"/>
        <w:outlineLvl w:val="1"/>
        <w:rPr>
          <w:rFonts w:ascii="宋体" w:hAnsi="宋体"/>
          <w:b/>
          <w:color w:val="auto"/>
          <w:sz w:val="44"/>
          <w:szCs w:val="44"/>
        </w:rPr>
      </w:pPr>
    </w:p>
    <w:p>
      <w:pPr>
        <w:jc w:val="center"/>
        <w:rPr>
          <w:rFonts w:hint="eastAsia" w:ascii="宋体" w:hAnsi="宋体" w:eastAsia="宋体" w:cs="黑体"/>
          <w:b/>
          <w:bCs/>
          <w:color w:val="auto"/>
          <w:sz w:val="32"/>
          <w:szCs w:val="32"/>
        </w:rPr>
      </w:pPr>
      <w:bookmarkStart w:id="110" w:name="_Toc1660557"/>
    </w:p>
    <w:p>
      <w:pPr>
        <w:jc w:val="center"/>
        <w:rPr>
          <w:rFonts w:hint="eastAsia" w:ascii="宋体" w:hAnsi="宋体" w:eastAsia="宋体" w:cs="黑体"/>
          <w:b/>
          <w:bCs/>
          <w:color w:val="auto"/>
          <w:sz w:val="32"/>
          <w:szCs w:val="32"/>
        </w:rPr>
      </w:pPr>
    </w:p>
    <w:p>
      <w:pPr>
        <w:jc w:val="center"/>
        <w:rPr>
          <w:rFonts w:hint="eastAsia" w:ascii="宋体" w:hAnsi="宋体" w:eastAsia="宋体" w:cs="黑体"/>
          <w:b/>
          <w:bCs/>
          <w:color w:val="auto"/>
          <w:sz w:val="32"/>
          <w:szCs w:val="32"/>
        </w:rPr>
      </w:pPr>
    </w:p>
    <w:p>
      <w:pPr>
        <w:jc w:val="center"/>
        <w:rPr>
          <w:rFonts w:ascii="宋体" w:hAnsi="宋体" w:eastAsia="宋体" w:cs="黑体"/>
          <w:b/>
          <w:bCs/>
          <w:color w:val="auto"/>
          <w:sz w:val="32"/>
          <w:szCs w:val="32"/>
        </w:rPr>
      </w:pPr>
      <w:r>
        <w:rPr>
          <w:rFonts w:hint="eastAsia" w:ascii="宋体" w:hAnsi="宋体" w:eastAsia="宋体" w:cs="黑体"/>
          <w:b/>
          <w:bCs/>
          <w:color w:val="auto"/>
          <w:sz w:val="32"/>
          <w:szCs w:val="32"/>
        </w:rPr>
        <w:t>附表1、</w:t>
      </w:r>
      <w:bookmarkEnd w:id="108"/>
      <w:bookmarkEnd w:id="109"/>
      <w:bookmarkEnd w:id="110"/>
      <w:r>
        <w:rPr>
          <w:rFonts w:hint="eastAsia" w:ascii="宋体" w:hAnsi="宋体" w:cs="黑体"/>
          <w:b/>
          <w:bCs/>
          <w:color w:val="auto"/>
          <w:sz w:val="32"/>
          <w:szCs w:val="32"/>
          <w:lang w:eastAsia="zh-CN"/>
        </w:rPr>
        <w:t>资格性、符合性审查</w:t>
      </w:r>
    </w:p>
    <w:p>
      <w:pPr>
        <w:spacing w:line="360" w:lineRule="auto"/>
        <w:jc w:val="left"/>
        <w:rPr>
          <w:color w:val="auto"/>
          <w:sz w:val="24"/>
        </w:rPr>
      </w:pPr>
      <w:r>
        <w:rPr>
          <w:rFonts w:hint="eastAsia" w:ascii="宋体" w:hAnsi="宋体"/>
          <w:color w:val="auto"/>
          <w:sz w:val="24"/>
        </w:rPr>
        <w:t>项目名称：</w:t>
      </w:r>
      <w:r>
        <w:rPr>
          <w:rFonts w:hint="eastAsia" w:ascii="宋体" w:hAnsi="宋体"/>
          <w:color w:val="auto"/>
          <w:sz w:val="24"/>
          <w:lang w:eastAsia="zh-CN"/>
        </w:rPr>
        <w:t>白沙黎族自治县公安局特种技术用车采购项目</w:t>
      </w:r>
      <w:r>
        <w:rPr>
          <w:rFonts w:hint="eastAsia" w:ascii="宋体" w:hAnsi="宋体"/>
          <w:color w:val="auto"/>
          <w:sz w:val="24"/>
        </w:rPr>
        <w:t xml:space="preserve"> </w:t>
      </w:r>
    </w:p>
    <w:p>
      <w:pPr>
        <w:spacing w:line="360" w:lineRule="auto"/>
        <w:rPr>
          <w:rFonts w:ascii="宋体" w:hAnsi="宋体"/>
          <w:color w:val="auto"/>
          <w:sz w:val="24"/>
        </w:rPr>
      </w:pPr>
      <w:r>
        <w:rPr>
          <w:rFonts w:hint="eastAsia" w:ascii="宋体" w:hAnsi="宋体"/>
          <w:color w:val="auto"/>
          <w:sz w:val="24"/>
        </w:rPr>
        <w:t>项目编号：</w:t>
      </w:r>
      <w:r>
        <w:rPr>
          <w:rFonts w:hint="eastAsia" w:ascii="宋体" w:hAnsi="宋体" w:cs="Times New Roman"/>
          <w:color w:val="auto"/>
          <w:sz w:val="24"/>
          <w:szCs w:val="22"/>
          <w:lang w:eastAsia="zh-CN"/>
        </w:rPr>
        <w:t>HNZC2023-ZB-055</w:t>
      </w:r>
      <w:r>
        <w:rPr>
          <w:rFonts w:hint="eastAsia" w:ascii="宋体" w:hAnsi="宋体" w:cs="Times New Roman"/>
          <w:color w:val="auto"/>
          <w:sz w:val="24"/>
          <w:szCs w:val="22"/>
        </w:rPr>
        <w:t xml:space="preserve">    </w:t>
      </w:r>
      <w:r>
        <w:rPr>
          <w:rFonts w:hint="eastAsia" w:ascii="宋体" w:hAnsi="宋体"/>
          <w:color w:val="auto"/>
          <w:sz w:val="24"/>
        </w:rPr>
        <w:t xml:space="preserve">                   日期：</w:t>
      </w:r>
      <w:r>
        <w:rPr>
          <w:rFonts w:hint="eastAsia" w:ascii="宋体" w:hAnsi="宋体"/>
          <w:color w:val="auto"/>
          <w:sz w:val="24"/>
          <w:lang w:eastAsia="zh-CN"/>
        </w:rPr>
        <w:t>2023年</w:t>
      </w:r>
      <w:r>
        <w:rPr>
          <w:rFonts w:hint="eastAsia" w:ascii="宋体" w:hAnsi="宋体"/>
          <w:color w:val="auto"/>
          <w:sz w:val="24"/>
        </w:rPr>
        <w:t xml:space="preserve">  月  日</w:t>
      </w:r>
    </w:p>
    <w:tbl>
      <w:tblPr>
        <w:tblStyle w:val="24"/>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82"/>
        <w:gridCol w:w="4752"/>
        <w:gridCol w:w="636"/>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8"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序号</w:t>
            </w:r>
          </w:p>
        </w:tc>
        <w:tc>
          <w:tcPr>
            <w:tcW w:w="1682"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审查项目</w:t>
            </w:r>
          </w:p>
        </w:tc>
        <w:tc>
          <w:tcPr>
            <w:tcW w:w="4752"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评议内容（无效投标认定条件）</w:t>
            </w:r>
          </w:p>
        </w:tc>
        <w:tc>
          <w:tcPr>
            <w:tcW w:w="191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8"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1682"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4752"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2#</w:t>
            </w: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48"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1</w:t>
            </w:r>
          </w:p>
        </w:tc>
        <w:tc>
          <w:tcPr>
            <w:tcW w:w="1682"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lang w:eastAsia="zh-CN"/>
              </w:rPr>
              <w:t>供应商</w:t>
            </w:r>
            <w:r>
              <w:rPr>
                <w:rFonts w:hint="eastAsia" w:ascii="宋体" w:hAnsi="宋体"/>
                <w:color w:val="auto"/>
                <w:sz w:val="24"/>
              </w:rPr>
              <w:t>的资格</w:t>
            </w:r>
          </w:p>
        </w:tc>
        <w:tc>
          <w:tcPr>
            <w:tcW w:w="47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rPr>
            </w:pPr>
            <w:r>
              <w:rPr>
                <w:rFonts w:hint="eastAsia" w:ascii="宋体" w:hAnsi="宋体"/>
                <w:color w:val="auto"/>
                <w:sz w:val="24"/>
              </w:rPr>
              <w:t>符合第一章</w:t>
            </w:r>
            <w:r>
              <w:rPr>
                <w:rFonts w:hint="eastAsia" w:ascii="宋体" w:hAnsi="宋体"/>
                <w:color w:val="auto"/>
                <w:sz w:val="24"/>
                <w:lang w:eastAsia="zh-CN"/>
              </w:rPr>
              <w:t>供应商</w:t>
            </w:r>
            <w:r>
              <w:rPr>
                <w:rFonts w:hint="eastAsia" w:ascii="宋体" w:hAnsi="宋体"/>
                <w:color w:val="auto"/>
                <w:sz w:val="24"/>
              </w:rPr>
              <w:t>资格要求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638"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auto"/>
                <w:sz w:val="24"/>
                <w:lang w:val="en-US" w:eastAsia="zh-CN"/>
              </w:rPr>
            </w:pPr>
            <w:r>
              <w:rPr>
                <w:rFonts w:hint="eastAsia" w:ascii="宋体" w:hAnsi="宋体"/>
                <w:color w:val="auto"/>
                <w:sz w:val="24"/>
                <w:lang w:val="en-US" w:eastAsia="zh-CN"/>
              </w:rPr>
              <w:t>2</w:t>
            </w:r>
          </w:p>
        </w:tc>
        <w:tc>
          <w:tcPr>
            <w:tcW w:w="16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olor w:val="auto"/>
                <w:sz w:val="24"/>
                <w:lang w:eastAsia="zh-CN"/>
              </w:rPr>
            </w:pPr>
            <w:r>
              <w:rPr>
                <w:rFonts w:hint="eastAsia" w:ascii="宋体" w:hAnsi="宋体" w:cs="宋体"/>
                <w:color w:val="auto"/>
                <w:sz w:val="24"/>
                <w:highlight w:val="none"/>
              </w:rPr>
              <w:t>投标文件递交</w:t>
            </w:r>
          </w:p>
        </w:tc>
        <w:tc>
          <w:tcPr>
            <w:tcW w:w="475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olor w:val="auto"/>
                <w:sz w:val="24"/>
              </w:rPr>
            </w:pPr>
            <w:r>
              <w:rPr>
                <w:rFonts w:hint="eastAsia" w:ascii="宋体" w:hAnsi="宋体" w:cs="宋体"/>
                <w:color w:val="auto"/>
                <w:sz w:val="24"/>
                <w:highlight w:val="none"/>
              </w:rPr>
              <w:t>一份正本，</w:t>
            </w:r>
            <w:r>
              <w:rPr>
                <w:rFonts w:hint="eastAsia" w:ascii="宋体" w:hAnsi="宋体" w:cs="宋体"/>
                <w:color w:val="auto"/>
                <w:sz w:val="24"/>
                <w:highlight w:val="none"/>
                <w:lang w:eastAsia="zh-CN"/>
              </w:rPr>
              <w:t>二</w:t>
            </w:r>
            <w:r>
              <w:rPr>
                <w:rFonts w:hint="eastAsia" w:ascii="宋体" w:hAnsi="宋体" w:cs="宋体"/>
                <w:color w:val="auto"/>
                <w:sz w:val="24"/>
                <w:highlight w:val="none"/>
              </w:rPr>
              <w:t>份副本</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auto"/>
                <w:sz w:val="24"/>
                <w:lang w:eastAsia="zh-CN"/>
              </w:rPr>
            </w:pPr>
            <w:r>
              <w:rPr>
                <w:rFonts w:hint="eastAsia" w:ascii="宋体" w:hAnsi="宋体"/>
                <w:color w:val="auto"/>
                <w:sz w:val="24"/>
                <w:lang w:val="en-US" w:eastAsia="zh-CN"/>
              </w:rPr>
              <w:t>3</w:t>
            </w:r>
          </w:p>
        </w:tc>
        <w:tc>
          <w:tcPr>
            <w:tcW w:w="16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lang w:eastAsia="zh-CN"/>
              </w:rPr>
              <w:t>响应</w:t>
            </w:r>
            <w:r>
              <w:rPr>
                <w:rFonts w:hint="eastAsia" w:ascii="宋体" w:hAnsi="宋体"/>
                <w:color w:val="auto"/>
                <w:sz w:val="24"/>
              </w:rPr>
              <w:t>文件的有效性</w:t>
            </w:r>
          </w:p>
        </w:tc>
        <w:tc>
          <w:tcPr>
            <w:tcW w:w="47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rPr>
            </w:pPr>
            <w:r>
              <w:rPr>
                <w:rFonts w:hint="eastAsia" w:ascii="宋体" w:hAnsi="宋体"/>
                <w:color w:val="auto"/>
                <w:sz w:val="24"/>
              </w:rPr>
              <w:t>是否符合谈判文件的式样和签署要求且内容完整无缺漏</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auto"/>
                <w:sz w:val="24"/>
                <w:lang w:eastAsia="zh-CN"/>
              </w:rPr>
            </w:pPr>
            <w:r>
              <w:rPr>
                <w:rFonts w:hint="eastAsia" w:ascii="宋体" w:hAnsi="宋体"/>
                <w:color w:val="auto"/>
                <w:sz w:val="24"/>
                <w:lang w:val="en-US" w:eastAsia="zh-CN"/>
              </w:rPr>
              <w:t>4</w:t>
            </w:r>
          </w:p>
        </w:tc>
        <w:tc>
          <w:tcPr>
            <w:tcW w:w="16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保证金</w:t>
            </w:r>
          </w:p>
        </w:tc>
        <w:tc>
          <w:tcPr>
            <w:tcW w:w="47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rPr>
            </w:pPr>
            <w:r>
              <w:rPr>
                <w:rFonts w:hint="eastAsia" w:ascii="宋体" w:hAnsi="宋体"/>
                <w:color w:val="auto"/>
                <w:sz w:val="24"/>
              </w:rPr>
              <w:t>是否按要求提交保证金证明的</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olor w:val="auto"/>
                <w:sz w:val="24"/>
                <w:lang w:val="en-US" w:eastAsia="zh-CN"/>
              </w:rPr>
            </w:pPr>
            <w:r>
              <w:rPr>
                <w:rFonts w:hint="eastAsia" w:ascii="宋体" w:hAnsi="宋体"/>
                <w:color w:val="auto"/>
                <w:sz w:val="24"/>
                <w:lang w:val="en-US" w:eastAsia="zh-CN"/>
              </w:rPr>
              <w:t>5</w:t>
            </w:r>
          </w:p>
        </w:tc>
        <w:tc>
          <w:tcPr>
            <w:tcW w:w="16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olor w:val="auto"/>
                <w:sz w:val="24"/>
              </w:rPr>
            </w:pPr>
            <w:r>
              <w:rPr>
                <w:rFonts w:hint="eastAsia" w:ascii="宋体" w:hAnsi="宋体" w:cs="宋体"/>
                <w:color w:val="auto"/>
                <w:sz w:val="24"/>
                <w:highlight w:val="none"/>
              </w:rPr>
              <w:t>信用记录</w:t>
            </w:r>
          </w:p>
        </w:tc>
        <w:tc>
          <w:tcPr>
            <w:tcW w:w="475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olor w:val="auto"/>
                <w:sz w:val="24"/>
              </w:rPr>
            </w:pPr>
            <w:r>
              <w:rPr>
                <w:rFonts w:hint="eastAsia" w:ascii="宋体" w:hAnsi="宋体" w:cs="宋体"/>
                <w:color w:val="auto"/>
                <w:sz w:val="24"/>
                <w:highlight w:val="none"/>
              </w:rPr>
              <w:t>无严重违法失信行为记录</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auto"/>
                <w:sz w:val="24"/>
                <w:lang w:eastAsia="zh-CN"/>
              </w:rPr>
            </w:pPr>
            <w:r>
              <w:rPr>
                <w:rFonts w:hint="eastAsia" w:ascii="宋体" w:hAnsi="宋体"/>
                <w:color w:val="auto"/>
                <w:sz w:val="24"/>
                <w:lang w:val="en-US" w:eastAsia="zh-CN"/>
              </w:rPr>
              <w:t>6</w:t>
            </w:r>
          </w:p>
        </w:tc>
        <w:tc>
          <w:tcPr>
            <w:tcW w:w="16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投标有效期</w:t>
            </w:r>
          </w:p>
        </w:tc>
        <w:tc>
          <w:tcPr>
            <w:tcW w:w="47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rPr>
            </w:pPr>
            <w:r>
              <w:rPr>
                <w:rFonts w:hint="eastAsia" w:ascii="宋体" w:hAnsi="宋体"/>
                <w:color w:val="auto"/>
                <w:sz w:val="24"/>
              </w:rPr>
              <w:t>从投标截止日期起计算的60 天</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auto"/>
                <w:sz w:val="24"/>
                <w:lang w:eastAsia="zh-CN"/>
              </w:rPr>
            </w:pPr>
            <w:r>
              <w:rPr>
                <w:rFonts w:hint="eastAsia" w:ascii="宋体" w:hAnsi="宋体"/>
                <w:color w:val="auto"/>
                <w:sz w:val="24"/>
                <w:lang w:val="en-US" w:eastAsia="zh-CN"/>
              </w:rPr>
              <w:t>7</w:t>
            </w:r>
          </w:p>
        </w:tc>
        <w:tc>
          <w:tcPr>
            <w:tcW w:w="16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实质性响应</w:t>
            </w:r>
          </w:p>
        </w:tc>
        <w:tc>
          <w:tcPr>
            <w:tcW w:w="475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olor w:val="auto"/>
                <w:sz w:val="24"/>
                <w:lang w:eastAsia="zh-CN"/>
              </w:rPr>
            </w:pPr>
            <w:r>
              <w:rPr>
                <w:rFonts w:hint="eastAsia" w:ascii="宋体" w:hAnsi="宋体"/>
                <w:color w:val="auto"/>
                <w:sz w:val="24"/>
                <w:lang w:eastAsia="zh-CN"/>
              </w:rPr>
              <w:t>须满足“第三章、用户需求书”中带</w:t>
            </w:r>
            <w:r>
              <w:rPr>
                <w:rFonts w:hint="eastAsia" w:ascii="宋体" w:hAnsi="宋体" w:cs="宋体"/>
                <w:i w:val="0"/>
                <w:iCs w:val="0"/>
                <w:color w:val="000000"/>
                <w:kern w:val="0"/>
                <w:sz w:val="20"/>
                <w:szCs w:val="20"/>
                <w:u w:val="none"/>
                <w:lang w:val="en-US" w:eastAsia="zh-CN" w:bidi="ar"/>
              </w:rPr>
              <w:t>●</w:t>
            </w:r>
            <w:r>
              <w:rPr>
                <w:rFonts w:hint="eastAsia" w:ascii="宋体" w:hAnsi="宋体"/>
                <w:color w:val="auto"/>
                <w:sz w:val="24"/>
                <w:lang w:eastAsia="zh-CN"/>
              </w:rPr>
              <w:t>部分的全部内容，若只要有一项不满足，则视为无效标。</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auto"/>
                <w:sz w:val="24"/>
                <w:lang w:eastAsia="zh-CN"/>
              </w:rPr>
            </w:pPr>
            <w:r>
              <w:rPr>
                <w:rFonts w:hint="eastAsia" w:ascii="宋体" w:hAnsi="宋体"/>
                <w:color w:val="auto"/>
                <w:sz w:val="24"/>
                <w:lang w:val="en-US" w:eastAsia="zh-CN"/>
              </w:rPr>
              <w:t>8</w:t>
            </w:r>
          </w:p>
        </w:tc>
        <w:tc>
          <w:tcPr>
            <w:tcW w:w="16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auto"/>
                <w:sz w:val="24"/>
                <w:lang w:eastAsia="zh-CN"/>
              </w:rPr>
            </w:pPr>
            <w:r>
              <w:rPr>
                <w:rFonts w:hint="eastAsia" w:ascii="宋体" w:hAnsi="宋体"/>
                <w:color w:val="auto"/>
                <w:sz w:val="24"/>
                <w:lang w:eastAsia="zh-CN"/>
              </w:rPr>
              <w:t>交货期</w:t>
            </w:r>
          </w:p>
        </w:tc>
        <w:tc>
          <w:tcPr>
            <w:tcW w:w="47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rPr>
            </w:pPr>
            <w:r>
              <w:rPr>
                <w:rFonts w:hint="eastAsia" w:ascii="宋体" w:hAnsi="宋体"/>
                <w:color w:val="auto"/>
                <w:sz w:val="24"/>
              </w:rPr>
              <w:t>是否满足采购要求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auto"/>
                <w:sz w:val="24"/>
                <w:lang w:eastAsia="zh-CN"/>
              </w:rPr>
            </w:pPr>
            <w:r>
              <w:rPr>
                <w:rFonts w:hint="eastAsia" w:ascii="宋体" w:hAnsi="宋体"/>
                <w:color w:val="auto"/>
                <w:sz w:val="24"/>
                <w:lang w:val="en-US" w:eastAsia="zh-CN"/>
              </w:rPr>
              <w:t>9</w:t>
            </w:r>
          </w:p>
        </w:tc>
        <w:tc>
          <w:tcPr>
            <w:tcW w:w="16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投标报价</w:t>
            </w:r>
          </w:p>
        </w:tc>
        <w:tc>
          <w:tcPr>
            <w:tcW w:w="47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rPr>
            </w:pPr>
            <w:r>
              <w:rPr>
                <w:rFonts w:hint="eastAsia" w:ascii="宋体" w:hAnsi="宋体"/>
                <w:color w:val="auto"/>
                <w:sz w:val="24"/>
              </w:rPr>
              <w:t>报价有效、不漏项、不超出采购预算</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olor w:val="auto"/>
                <w:sz w:val="24"/>
                <w:lang w:val="en-US" w:eastAsia="zh-CN"/>
              </w:rPr>
            </w:pPr>
            <w:r>
              <w:rPr>
                <w:rFonts w:hint="eastAsia" w:ascii="宋体" w:hAnsi="宋体"/>
                <w:color w:val="auto"/>
                <w:sz w:val="24"/>
                <w:lang w:val="en-US" w:eastAsia="zh-CN"/>
              </w:rPr>
              <w:t>11</w:t>
            </w:r>
          </w:p>
        </w:tc>
        <w:tc>
          <w:tcPr>
            <w:tcW w:w="16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其它</w:t>
            </w:r>
          </w:p>
        </w:tc>
        <w:tc>
          <w:tcPr>
            <w:tcW w:w="47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rPr>
            </w:pPr>
            <w:r>
              <w:rPr>
                <w:rFonts w:hint="eastAsia" w:ascii="宋体" w:hAnsi="宋体"/>
                <w:color w:val="auto"/>
                <w:sz w:val="24"/>
              </w:rPr>
              <w:t>是否有其它无效投标认定条件</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08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结论（合格/不合格）</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rPr>
            </w:pPr>
          </w:p>
        </w:tc>
      </w:tr>
    </w:tbl>
    <w:p>
      <w:pPr>
        <w:spacing w:line="360" w:lineRule="auto"/>
        <w:rPr>
          <w:rFonts w:ascii="新宋体" w:hAnsi="新宋体" w:eastAsia="新宋体"/>
          <w:color w:val="auto"/>
          <w:szCs w:val="21"/>
        </w:rPr>
      </w:pPr>
      <w:r>
        <w:rPr>
          <w:rFonts w:hint="eastAsia" w:ascii="新宋体" w:hAnsi="新宋体" w:eastAsia="新宋体"/>
          <w:color w:val="auto"/>
          <w:szCs w:val="21"/>
        </w:rPr>
        <w:t>1、在表中的各项只需填写“√/通过”或“×/不通过”。</w:t>
      </w:r>
    </w:p>
    <w:p>
      <w:pPr>
        <w:spacing w:line="360" w:lineRule="auto"/>
        <w:rPr>
          <w:rFonts w:ascii="新宋体" w:hAnsi="新宋体" w:eastAsia="新宋体"/>
          <w:color w:val="auto"/>
          <w:szCs w:val="21"/>
        </w:rPr>
      </w:pPr>
      <w:r>
        <w:rPr>
          <w:rFonts w:hint="eastAsia" w:ascii="新宋体" w:hAnsi="新宋体" w:eastAsia="新宋体"/>
          <w:color w:val="auto"/>
          <w:szCs w:val="21"/>
        </w:rPr>
        <w:t>2、在结论中按“一项否决”的原则，只有全部是√/通过的，填写“合格”；只要其中有一项是×/不通过的，填写“不合格”。</w:t>
      </w:r>
    </w:p>
    <w:p>
      <w:pPr>
        <w:spacing w:line="360" w:lineRule="auto"/>
        <w:rPr>
          <w:rFonts w:ascii="新宋体" w:hAnsi="新宋体" w:eastAsia="新宋体"/>
          <w:color w:val="auto"/>
          <w:szCs w:val="21"/>
        </w:rPr>
      </w:pPr>
      <w:r>
        <w:rPr>
          <w:rFonts w:hint="eastAsia" w:ascii="新宋体" w:hAnsi="新宋体" w:eastAsia="新宋体"/>
          <w:color w:val="auto"/>
          <w:szCs w:val="21"/>
        </w:rPr>
        <w:t>3、结论是合格的，才能进入下一轮；不合格的被淘汰</w:t>
      </w:r>
    </w:p>
    <w:p>
      <w:pPr>
        <w:spacing w:line="360" w:lineRule="auto"/>
        <w:rPr>
          <w:rFonts w:ascii="新宋体" w:hAnsi="新宋体" w:eastAsia="新宋体"/>
          <w:color w:val="auto"/>
          <w:szCs w:val="21"/>
        </w:rPr>
      </w:pPr>
    </w:p>
    <w:p>
      <w:pPr>
        <w:spacing w:line="360" w:lineRule="auto"/>
        <w:rPr>
          <w:rFonts w:hint="default" w:ascii="新宋体" w:hAnsi="新宋体" w:eastAsia="新宋体"/>
          <w:color w:val="auto"/>
          <w:szCs w:val="21"/>
          <w:lang w:val="en-US" w:eastAsia="zh-CN"/>
        </w:rPr>
      </w:pPr>
      <w:r>
        <w:rPr>
          <w:rFonts w:hint="eastAsia" w:ascii="新宋体" w:hAnsi="新宋体" w:eastAsia="新宋体"/>
          <w:color w:val="auto"/>
          <w:szCs w:val="21"/>
          <w:lang w:eastAsia="zh-CN"/>
        </w:rPr>
        <w:t>谈判小组</w:t>
      </w:r>
      <w:r>
        <w:rPr>
          <w:rFonts w:hint="eastAsia" w:ascii="新宋体" w:hAnsi="新宋体" w:eastAsia="新宋体"/>
          <w:color w:val="auto"/>
          <w:szCs w:val="21"/>
          <w:lang w:val="en-US" w:eastAsia="zh-CN"/>
        </w:rPr>
        <w:t>:</w:t>
      </w:r>
    </w:p>
    <w:p>
      <w:pPr>
        <w:spacing w:line="360" w:lineRule="auto"/>
        <w:rPr>
          <w:rFonts w:ascii="新宋体" w:hAnsi="新宋体" w:eastAsia="新宋体"/>
          <w:color w:val="auto"/>
          <w:szCs w:val="21"/>
        </w:rPr>
      </w:pPr>
    </w:p>
    <w:p>
      <w:pPr>
        <w:spacing w:line="360" w:lineRule="auto"/>
        <w:jc w:val="right"/>
        <w:rPr>
          <w:rFonts w:ascii="宋体" w:hAnsi="宋体"/>
          <w:color w:val="auto"/>
        </w:rPr>
      </w:pPr>
      <w:r>
        <w:rPr>
          <w:rFonts w:hint="eastAsia"/>
          <w:b/>
          <w:color w:val="auto"/>
        </w:rPr>
        <w:t xml:space="preserve">   [末页]</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roman"/>
    <w:pitch w:val="default"/>
    <w:sig w:usb0="00000000" w:usb1="00000000" w:usb2="00000016" w:usb3="00000000" w:csb0="0004000F" w:csb1="00000000"/>
  </w:font>
  <w:font w:name="等线">
    <w:altName w:val="Arial Unicode MS"/>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Batang">
    <w:panose1 w:val="02030600000101010101"/>
    <w:charset w:val="81"/>
    <w:family w:val="roman"/>
    <w:pitch w:val="default"/>
    <w:sig w:usb0="B00002AF" w:usb1="69D77CFB" w:usb2="00000030" w:usb3="00000000" w:csb0="4008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69D0AB"/>
    <w:multiLevelType w:val="singleLevel"/>
    <w:tmpl w:val="E769D0AB"/>
    <w:lvl w:ilvl="0" w:tentative="0">
      <w:start w:val="1"/>
      <w:numFmt w:val="decimal"/>
      <w:suff w:val="space"/>
      <w:lvlText w:val="%1."/>
      <w:lvlJc w:val="left"/>
    </w:lvl>
  </w:abstractNum>
  <w:abstractNum w:abstractNumId="1">
    <w:nsid w:val="00000002"/>
    <w:multiLevelType w:val="multilevel"/>
    <w:tmpl w:val="00000002"/>
    <w:lvl w:ilvl="0" w:tentative="0">
      <w:start w:val="1"/>
      <w:numFmt w:val="chineseCountingThousand"/>
      <w:lvlText w:val="%1、"/>
      <w:lvlJc w:val="left"/>
      <w:pPr>
        <w:tabs>
          <w:tab w:val="left" w:pos="420"/>
        </w:tabs>
        <w:ind w:left="420" w:hanging="420"/>
      </w:pPr>
      <w:rPr>
        <w:b/>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3"/>
    <w:multiLevelType w:val="multilevel"/>
    <w:tmpl w:val="00000003"/>
    <w:lvl w:ilvl="0" w:tentative="0">
      <w:start w:val="1"/>
      <w:numFmt w:val="decimal"/>
      <w:lvlText w:val="（%1）"/>
      <w:lvlJc w:val="left"/>
      <w:pPr>
        <w:tabs>
          <w:tab w:val="left" w:pos="598"/>
        </w:tabs>
        <w:ind w:left="598" w:hanging="420"/>
      </w:pPr>
      <w:rPr>
        <w:rFonts w:hint="eastAsia"/>
        <w:b w:val="0"/>
        <w:sz w:val="24"/>
        <w:szCs w:val="24"/>
      </w:rPr>
    </w:lvl>
    <w:lvl w:ilvl="1" w:tentative="0">
      <w:start w:val="1"/>
      <w:numFmt w:val="lowerLetter"/>
      <w:lvlText w:val="%2)"/>
      <w:lvlJc w:val="left"/>
      <w:pPr>
        <w:tabs>
          <w:tab w:val="left" w:pos="598"/>
        </w:tabs>
        <w:ind w:left="598" w:hanging="420"/>
      </w:pPr>
    </w:lvl>
    <w:lvl w:ilvl="2" w:tentative="0">
      <w:start w:val="1"/>
      <w:numFmt w:val="lowerRoman"/>
      <w:lvlText w:val="%3."/>
      <w:lvlJc w:val="right"/>
      <w:pPr>
        <w:tabs>
          <w:tab w:val="left" w:pos="1018"/>
        </w:tabs>
        <w:ind w:left="1018" w:hanging="420"/>
      </w:pPr>
    </w:lvl>
    <w:lvl w:ilvl="3" w:tentative="0">
      <w:start w:val="1"/>
      <w:numFmt w:val="decimal"/>
      <w:lvlText w:val="%4."/>
      <w:lvlJc w:val="left"/>
      <w:pPr>
        <w:tabs>
          <w:tab w:val="left" w:pos="1438"/>
        </w:tabs>
        <w:ind w:left="1438" w:hanging="420"/>
      </w:pPr>
    </w:lvl>
    <w:lvl w:ilvl="4" w:tentative="0">
      <w:start w:val="1"/>
      <w:numFmt w:val="lowerLetter"/>
      <w:lvlText w:val="%5)"/>
      <w:lvlJc w:val="left"/>
      <w:pPr>
        <w:tabs>
          <w:tab w:val="left" w:pos="1858"/>
        </w:tabs>
        <w:ind w:left="1858" w:hanging="420"/>
      </w:pPr>
    </w:lvl>
    <w:lvl w:ilvl="5" w:tentative="0">
      <w:start w:val="1"/>
      <w:numFmt w:val="lowerRoman"/>
      <w:lvlText w:val="%6."/>
      <w:lvlJc w:val="right"/>
      <w:pPr>
        <w:tabs>
          <w:tab w:val="left" w:pos="2278"/>
        </w:tabs>
        <w:ind w:left="2278" w:hanging="420"/>
      </w:pPr>
    </w:lvl>
    <w:lvl w:ilvl="6" w:tentative="0">
      <w:start w:val="1"/>
      <w:numFmt w:val="decimal"/>
      <w:lvlText w:val="%7."/>
      <w:lvlJc w:val="left"/>
      <w:pPr>
        <w:tabs>
          <w:tab w:val="left" w:pos="2698"/>
        </w:tabs>
        <w:ind w:left="2698" w:hanging="420"/>
      </w:pPr>
    </w:lvl>
    <w:lvl w:ilvl="7" w:tentative="0">
      <w:start w:val="1"/>
      <w:numFmt w:val="lowerLetter"/>
      <w:lvlText w:val="%8)"/>
      <w:lvlJc w:val="left"/>
      <w:pPr>
        <w:tabs>
          <w:tab w:val="left" w:pos="3118"/>
        </w:tabs>
        <w:ind w:left="3118" w:hanging="420"/>
      </w:pPr>
    </w:lvl>
    <w:lvl w:ilvl="8" w:tentative="0">
      <w:start w:val="1"/>
      <w:numFmt w:val="lowerRoman"/>
      <w:lvlText w:val="%9."/>
      <w:lvlJc w:val="right"/>
      <w:pPr>
        <w:tabs>
          <w:tab w:val="left" w:pos="3538"/>
        </w:tabs>
        <w:ind w:left="3538" w:hanging="420"/>
      </w:pPr>
    </w:lvl>
  </w:abstractNum>
  <w:abstractNum w:abstractNumId="3">
    <w:nsid w:val="00000004"/>
    <w:multiLevelType w:val="multilevel"/>
    <w:tmpl w:val="00000004"/>
    <w:lvl w:ilvl="0" w:tentative="0">
      <w:start w:val="1"/>
      <w:numFmt w:val="decimal"/>
      <w:lvlText w:val="%1、"/>
      <w:lvlJc w:val="left"/>
      <w:pPr>
        <w:tabs>
          <w:tab w:val="left" w:pos="420"/>
        </w:tabs>
        <w:ind w:left="420" w:hanging="420"/>
      </w:pPr>
      <w:rPr>
        <w:rFonts w:hint="eastAsia"/>
        <w:b/>
        <w:sz w:val="24"/>
        <w:szCs w:val="24"/>
      </w:rPr>
    </w:lvl>
    <w:lvl w:ilvl="1" w:tentative="0">
      <w:start w:val="1"/>
      <w:numFmt w:val="lowerLetter"/>
      <w:lvlText w:val="%2)"/>
      <w:lvlJc w:val="left"/>
      <w:pPr>
        <w:tabs>
          <w:tab w:val="left" w:pos="1079"/>
        </w:tabs>
        <w:ind w:left="1079" w:hanging="420"/>
      </w:pPr>
    </w:lvl>
    <w:lvl w:ilvl="2" w:tentative="0">
      <w:start w:val="1"/>
      <w:numFmt w:val="lowerRoman"/>
      <w:lvlText w:val="%3."/>
      <w:lvlJc w:val="right"/>
      <w:pPr>
        <w:tabs>
          <w:tab w:val="left" w:pos="1499"/>
        </w:tabs>
        <w:ind w:left="1499" w:hanging="420"/>
      </w:pPr>
    </w:lvl>
    <w:lvl w:ilvl="3" w:tentative="0">
      <w:start w:val="1"/>
      <w:numFmt w:val="decimal"/>
      <w:lvlText w:val="%4."/>
      <w:lvlJc w:val="left"/>
      <w:pPr>
        <w:tabs>
          <w:tab w:val="left" w:pos="1919"/>
        </w:tabs>
        <w:ind w:left="1919" w:hanging="420"/>
      </w:pPr>
    </w:lvl>
    <w:lvl w:ilvl="4" w:tentative="0">
      <w:start w:val="1"/>
      <w:numFmt w:val="lowerLetter"/>
      <w:lvlText w:val="%5)"/>
      <w:lvlJc w:val="left"/>
      <w:pPr>
        <w:tabs>
          <w:tab w:val="left" w:pos="2339"/>
        </w:tabs>
        <w:ind w:left="2339" w:hanging="420"/>
      </w:pPr>
    </w:lvl>
    <w:lvl w:ilvl="5" w:tentative="0">
      <w:start w:val="1"/>
      <w:numFmt w:val="lowerRoman"/>
      <w:lvlText w:val="%6."/>
      <w:lvlJc w:val="right"/>
      <w:pPr>
        <w:tabs>
          <w:tab w:val="left" w:pos="2759"/>
        </w:tabs>
        <w:ind w:left="2759" w:hanging="420"/>
      </w:pPr>
    </w:lvl>
    <w:lvl w:ilvl="6" w:tentative="0">
      <w:start w:val="1"/>
      <w:numFmt w:val="decimal"/>
      <w:lvlText w:val="%7."/>
      <w:lvlJc w:val="left"/>
      <w:pPr>
        <w:tabs>
          <w:tab w:val="left" w:pos="3179"/>
        </w:tabs>
        <w:ind w:left="3179" w:hanging="420"/>
      </w:pPr>
    </w:lvl>
    <w:lvl w:ilvl="7" w:tentative="0">
      <w:start w:val="1"/>
      <w:numFmt w:val="lowerLetter"/>
      <w:lvlText w:val="%8)"/>
      <w:lvlJc w:val="left"/>
      <w:pPr>
        <w:tabs>
          <w:tab w:val="left" w:pos="3599"/>
        </w:tabs>
        <w:ind w:left="3599" w:hanging="420"/>
      </w:pPr>
    </w:lvl>
    <w:lvl w:ilvl="8" w:tentative="0">
      <w:start w:val="1"/>
      <w:numFmt w:val="lowerRoman"/>
      <w:lvlText w:val="%9."/>
      <w:lvlJc w:val="right"/>
      <w:pPr>
        <w:tabs>
          <w:tab w:val="left" w:pos="4019"/>
        </w:tabs>
        <w:ind w:left="4019" w:hanging="420"/>
      </w:pPr>
    </w:lvl>
  </w:abstractNum>
  <w:abstractNum w:abstractNumId="4">
    <w:nsid w:val="00000005"/>
    <w:multiLevelType w:val="multilevel"/>
    <w:tmpl w:val="00000005"/>
    <w:lvl w:ilvl="0" w:tentative="0">
      <w:start w:val="1"/>
      <w:numFmt w:val="decimal"/>
      <w:suff w:val="nothing"/>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6"/>
    <w:multiLevelType w:val="singleLevel"/>
    <w:tmpl w:val="00000006"/>
    <w:lvl w:ilvl="0" w:tentative="0">
      <w:start w:val="1"/>
      <w:numFmt w:val="decimal"/>
      <w:suff w:val="nothing"/>
      <w:lvlText w:val="（%1）"/>
      <w:lvlJc w:val="left"/>
    </w:lvl>
  </w:abstractNum>
  <w:abstractNum w:abstractNumId="6">
    <w:nsid w:val="00000007"/>
    <w:multiLevelType w:val="singleLevel"/>
    <w:tmpl w:val="00000007"/>
    <w:lvl w:ilvl="0" w:tentative="0">
      <w:start w:val="1"/>
      <w:numFmt w:val="decimal"/>
      <w:suff w:val="nothing"/>
      <w:lvlText w:val="%1、"/>
      <w:lvlJc w:val="left"/>
    </w:lvl>
  </w:abstractNum>
  <w:abstractNum w:abstractNumId="7">
    <w:nsid w:val="00000008"/>
    <w:multiLevelType w:val="singleLevel"/>
    <w:tmpl w:val="00000008"/>
    <w:lvl w:ilvl="0" w:tentative="0">
      <w:start w:val="2"/>
      <w:numFmt w:val="decimal"/>
      <w:suff w:val="nothing"/>
      <w:lvlText w:val="%1、"/>
      <w:lvlJc w:val="left"/>
    </w:lvl>
  </w:abstractNum>
  <w:abstractNum w:abstractNumId="8">
    <w:nsid w:val="00000009"/>
    <w:multiLevelType w:val="singleLevel"/>
    <w:tmpl w:val="00000009"/>
    <w:lvl w:ilvl="0" w:tentative="0">
      <w:start w:val="3"/>
      <w:numFmt w:val="chineseCounting"/>
      <w:suff w:val="nothing"/>
      <w:lvlText w:val="%1、"/>
      <w:lvlJc w:val="left"/>
    </w:lvl>
  </w:abstractNum>
  <w:abstractNum w:abstractNumId="9">
    <w:nsid w:val="0000000A"/>
    <w:multiLevelType w:val="singleLevel"/>
    <w:tmpl w:val="0000000A"/>
    <w:lvl w:ilvl="0" w:tentative="0">
      <w:start w:val="7"/>
      <w:numFmt w:val="chineseCounting"/>
      <w:suff w:val="nothing"/>
      <w:lvlText w:val="%1、"/>
      <w:lvlJc w:val="left"/>
    </w:lvl>
  </w:abstractNum>
  <w:abstractNum w:abstractNumId="10">
    <w:nsid w:val="0000000B"/>
    <w:multiLevelType w:val="singleLevel"/>
    <w:tmpl w:val="0000000B"/>
    <w:lvl w:ilvl="0" w:tentative="0">
      <w:start w:val="1"/>
      <w:numFmt w:val="decimal"/>
      <w:suff w:val="nothing"/>
      <w:lvlText w:val="（%1）"/>
      <w:lvlJc w:val="left"/>
    </w:lvl>
  </w:abstractNum>
  <w:abstractNum w:abstractNumId="11">
    <w:nsid w:val="0000000C"/>
    <w:multiLevelType w:val="singleLevel"/>
    <w:tmpl w:val="0000000C"/>
    <w:lvl w:ilvl="0" w:tentative="0">
      <w:start w:val="5"/>
      <w:numFmt w:val="chineseCounting"/>
      <w:suff w:val="nothing"/>
      <w:lvlText w:val="第%1章、"/>
      <w:lvlJc w:val="left"/>
      <w:rPr>
        <w:rFonts w:hint="eastAsia"/>
      </w:rPr>
    </w:lvl>
  </w:abstractNum>
  <w:abstractNum w:abstractNumId="12">
    <w:nsid w:val="0000000D"/>
    <w:multiLevelType w:val="multilevel"/>
    <w:tmpl w:val="0000000D"/>
    <w:lvl w:ilvl="0" w:tentative="0">
      <w:start w:val="1"/>
      <w:numFmt w:val="decimal"/>
      <w:pStyle w:val="106"/>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2"/>
  </w:num>
  <w:num w:numId="2">
    <w:abstractNumId w:val="8"/>
  </w:num>
  <w:num w:numId="3">
    <w:abstractNumId w:val="10"/>
  </w:num>
  <w:num w:numId="4">
    <w:abstractNumId w:val="9"/>
  </w:num>
  <w:num w:numId="5">
    <w:abstractNumId w:val="11"/>
  </w:num>
  <w:num w:numId="6">
    <w:abstractNumId w:val="6"/>
  </w:num>
  <w:num w:numId="7">
    <w:abstractNumId w:val="5"/>
  </w:num>
  <w:num w:numId="8">
    <w:abstractNumId w:val="7"/>
  </w:num>
  <w:num w:numId="9">
    <w:abstractNumId w:val="0"/>
  </w:num>
  <w:num w:numId="10">
    <w:abstractNumId w:val="4"/>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lZjQ4MjhjMzNlNmRkNTE4ZmRlOWRlYTJkMzk4OTEifQ=="/>
  </w:docVars>
  <w:rsids>
    <w:rsidRoot w:val="00000000"/>
    <w:rsid w:val="005052B0"/>
    <w:rsid w:val="00812E7F"/>
    <w:rsid w:val="008707FA"/>
    <w:rsid w:val="02AA25E6"/>
    <w:rsid w:val="03687D8B"/>
    <w:rsid w:val="041E042D"/>
    <w:rsid w:val="04C606A6"/>
    <w:rsid w:val="054F68A3"/>
    <w:rsid w:val="05822DA5"/>
    <w:rsid w:val="063A6016"/>
    <w:rsid w:val="0666357F"/>
    <w:rsid w:val="07161BD9"/>
    <w:rsid w:val="08131A1C"/>
    <w:rsid w:val="0956369B"/>
    <w:rsid w:val="0A061441"/>
    <w:rsid w:val="0ADC5213"/>
    <w:rsid w:val="0B514E35"/>
    <w:rsid w:val="0B675F7A"/>
    <w:rsid w:val="0BEC1F4E"/>
    <w:rsid w:val="0C7A7B9D"/>
    <w:rsid w:val="0E9B38EA"/>
    <w:rsid w:val="0E9C204A"/>
    <w:rsid w:val="0EAA5011"/>
    <w:rsid w:val="0EBB081F"/>
    <w:rsid w:val="0EDE0B6F"/>
    <w:rsid w:val="118358D5"/>
    <w:rsid w:val="11996306"/>
    <w:rsid w:val="11CF00BE"/>
    <w:rsid w:val="12162694"/>
    <w:rsid w:val="126914E5"/>
    <w:rsid w:val="126C298A"/>
    <w:rsid w:val="143A0C27"/>
    <w:rsid w:val="14D02811"/>
    <w:rsid w:val="15763EFC"/>
    <w:rsid w:val="16AA7417"/>
    <w:rsid w:val="16CC1427"/>
    <w:rsid w:val="17187A00"/>
    <w:rsid w:val="173D6D2B"/>
    <w:rsid w:val="174E13ED"/>
    <w:rsid w:val="17CC2CF9"/>
    <w:rsid w:val="18F80ED7"/>
    <w:rsid w:val="1950230F"/>
    <w:rsid w:val="1A264D1B"/>
    <w:rsid w:val="1A486286"/>
    <w:rsid w:val="1ACB11D9"/>
    <w:rsid w:val="1BC6632B"/>
    <w:rsid w:val="1C1B6931"/>
    <w:rsid w:val="1D8653B1"/>
    <w:rsid w:val="1D971CA9"/>
    <w:rsid w:val="1E210EC6"/>
    <w:rsid w:val="1E4D2134"/>
    <w:rsid w:val="1E512567"/>
    <w:rsid w:val="1F4C6139"/>
    <w:rsid w:val="1F5E3779"/>
    <w:rsid w:val="1F8F2DED"/>
    <w:rsid w:val="1FAC09E4"/>
    <w:rsid w:val="20420E21"/>
    <w:rsid w:val="20AF7B5D"/>
    <w:rsid w:val="20F16941"/>
    <w:rsid w:val="21E02136"/>
    <w:rsid w:val="22390CC7"/>
    <w:rsid w:val="225D538A"/>
    <w:rsid w:val="22931225"/>
    <w:rsid w:val="236E3A41"/>
    <w:rsid w:val="237D1B7A"/>
    <w:rsid w:val="23973628"/>
    <w:rsid w:val="248C3585"/>
    <w:rsid w:val="24E3441C"/>
    <w:rsid w:val="25986E0A"/>
    <w:rsid w:val="25AC1CA2"/>
    <w:rsid w:val="279B63E3"/>
    <w:rsid w:val="27CB66C3"/>
    <w:rsid w:val="27EA2186"/>
    <w:rsid w:val="28552C6B"/>
    <w:rsid w:val="292A738E"/>
    <w:rsid w:val="298040C0"/>
    <w:rsid w:val="2A7C2CCC"/>
    <w:rsid w:val="2B530B17"/>
    <w:rsid w:val="2BEC754E"/>
    <w:rsid w:val="2C122042"/>
    <w:rsid w:val="2D371C92"/>
    <w:rsid w:val="2E0900B1"/>
    <w:rsid w:val="2EF852CA"/>
    <w:rsid w:val="2F673CC3"/>
    <w:rsid w:val="2FC56DF9"/>
    <w:rsid w:val="30D60BBB"/>
    <w:rsid w:val="30E54847"/>
    <w:rsid w:val="31141CC5"/>
    <w:rsid w:val="32322D65"/>
    <w:rsid w:val="326E1A37"/>
    <w:rsid w:val="331270B6"/>
    <w:rsid w:val="3413103C"/>
    <w:rsid w:val="34B3250E"/>
    <w:rsid w:val="35711563"/>
    <w:rsid w:val="368B3903"/>
    <w:rsid w:val="36925DF9"/>
    <w:rsid w:val="37911081"/>
    <w:rsid w:val="37964BCE"/>
    <w:rsid w:val="37B6049A"/>
    <w:rsid w:val="389813FC"/>
    <w:rsid w:val="39420F77"/>
    <w:rsid w:val="3A675C87"/>
    <w:rsid w:val="3A6B0105"/>
    <w:rsid w:val="3B3453BD"/>
    <w:rsid w:val="3EB84C8D"/>
    <w:rsid w:val="3F1E738B"/>
    <w:rsid w:val="3FF53207"/>
    <w:rsid w:val="403275DA"/>
    <w:rsid w:val="404A308F"/>
    <w:rsid w:val="408C5E7E"/>
    <w:rsid w:val="415C0BB9"/>
    <w:rsid w:val="41A83637"/>
    <w:rsid w:val="431005A0"/>
    <w:rsid w:val="431D4D04"/>
    <w:rsid w:val="435A5DA5"/>
    <w:rsid w:val="44CF2DED"/>
    <w:rsid w:val="44D321B9"/>
    <w:rsid w:val="44FA6303"/>
    <w:rsid w:val="45905BF6"/>
    <w:rsid w:val="45B82CCF"/>
    <w:rsid w:val="465F4B81"/>
    <w:rsid w:val="474474E9"/>
    <w:rsid w:val="47AB317B"/>
    <w:rsid w:val="47CA13A4"/>
    <w:rsid w:val="47EE0586"/>
    <w:rsid w:val="4835079D"/>
    <w:rsid w:val="495B3DC7"/>
    <w:rsid w:val="496F74D8"/>
    <w:rsid w:val="49C22351"/>
    <w:rsid w:val="4A3933E3"/>
    <w:rsid w:val="4B060B6C"/>
    <w:rsid w:val="4D1B64D7"/>
    <w:rsid w:val="4E9A0497"/>
    <w:rsid w:val="4F147E22"/>
    <w:rsid w:val="4FAD01B8"/>
    <w:rsid w:val="50075BC5"/>
    <w:rsid w:val="50771108"/>
    <w:rsid w:val="50CE5A95"/>
    <w:rsid w:val="50D46F62"/>
    <w:rsid w:val="51556B46"/>
    <w:rsid w:val="519A3D1A"/>
    <w:rsid w:val="52A71A63"/>
    <w:rsid w:val="53EC38A7"/>
    <w:rsid w:val="545130DF"/>
    <w:rsid w:val="54A333AC"/>
    <w:rsid w:val="557B6A0A"/>
    <w:rsid w:val="557F0DE5"/>
    <w:rsid w:val="55B31529"/>
    <w:rsid w:val="55EA40B8"/>
    <w:rsid w:val="56A1196B"/>
    <w:rsid w:val="575E479F"/>
    <w:rsid w:val="580123FF"/>
    <w:rsid w:val="5866192B"/>
    <w:rsid w:val="59BB52EA"/>
    <w:rsid w:val="5A407C1E"/>
    <w:rsid w:val="5B3078C1"/>
    <w:rsid w:val="5B5010A4"/>
    <w:rsid w:val="5BD20EA4"/>
    <w:rsid w:val="5C064534"/>
    <w:rsid w:val="5C304436"/>
    <w:rsid w:val="5C654952"/>
    <w:rsid w:val="5DAC1295"/>
    <w:rsid w:val="5E8F3614"/>
    <w:rsid w:val="5EE633C5"/>
    <w:rsid w:val="5FB041A4"/>
    <w:rsid w:val="5FD57BE4"/>
    <w:rsid w:val="611E0982"/>
    <w:rsid w:val="618B23F5"/>
    <w:rsid w:val="61917BB2"/>
    <w:rsid w:val="61EF6D09"/>
    <w:rsid w:val="624D41CE"/>
    <w:rsid w:val="62CD6D9E"/>
    <w:rsid w:val="63A62425"/>
    <w:rsid w:val="63B536AB"/>
    <w:rsid w:val="63C8588C"/>
    <w:rsid w:val="63D15E92"/>
    <w:rsid w:val="64AE5715"/>
    <w:rsid w:val="654E4F4B"/>
    <w:rsid w:val="655A4211"/>
    <w:rsid w:val="65600AE7"/>
    <w:rsid w:val="65C8116A"/>
    <w:rsid w:val="67123C0B"/>
    <w:rsid w:val="67F96C02"/>
    <w:rsid w:val="69110DF2"/>
    <w:rsid w:val="69670F03"/>
    <w:rsid w:val="69912B88"/>
    <w:rsid w:val="6AC95F88"/>
    <w:rsid w:val="6B014900"/>
    <w:rsid w:val="6B3E6606"/>
    <w:rsid w:val="6BAA0EEC"/>
    <w:rsid w:val="6BCF467D"/>
    <w:rsid w:val="6C0B2C8C"/>
    <w:rsid w:val="6C5125C4"/>
    <w:rsid w:val="6C7F16A7"/>
    <w:rsid w:val="6D600BC7"/>
    <w:rsid w:val="6DD52387"/>
    <w:rsid w:val="6E2872BC"/>
    <w:rsid w:val="6EAB4A87"/>
    <w:rsid w:val="6EFC59B5"/>
    <w:rsid w:val="7021500E"/>
    <w:rsid w:val="705F0A24"/>
    <w:rsid w:val="70905F7F"/>
    <w:rsid w:val="70D12C51"/>
    <w:rsid w:val="723D5A8B"/>
    <w:rsid w:val="746811D4"/>
    <w:rsid w:val="75B10A43"/>
    <w:rsid w:val="76CA384E"/>
    <w:rsid w:val="78346FB5"/>
    <w:rsid w:val="78865A75"/>
    <w:rsid w:val="78BD6F23"/>
    <w:rsid w:val="78EF5C37"/>
    <w:rsid w:val="790B4B9F"/>
    <w:rsid w:val="791D52B2"/>
    <w:rsid w:val="792061F3"/>
    <w:rsid w:val="79BE5F03"/>
    <w:rsid w:val="7AE57708"/>
    <w:rsid w:val="7B046A32"/>
    <w:rsid w:val="7C70201D"/>
    <w:rsid w:val="7CAD5EC2"/>
    <w:rsid w:val="7D417890"/>
    <w:rsid w:val="7D925C1D"/>
    <w:rsid w:val="7E602D68"/>
    <w:rsid w:val="7E8F60FC"/>
    <w:rsid w:val="7ECA5367"/>
    <w:rsid w:val="7FC15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heading 1"/>
    <w:basedOn w:val="1"/>
    <w:next w:val="1"/>
    <w:link w:val="112"/>
    <w:qFormat/>
    <w:uiPriority w:val="9"/>
    <w:pPr>
      <w:keepNext/>
      <w:keepLines/>
      <w:spacing w:before="340" w:after="330" w:line="578" w:lineRule="auto"/>
      <w:outlineLvl w:val="0"/>
    </w:pPr>
    <w:rPr>
      <w:b/>
      <w:bCs/>
      <w:kern w:val="44"/>
      <w:sz w:val="44"/>
      <w:szCs w:val="44"/>
    </w:rPr>
  </w:style>
  <w:style w:type="paragraph" w:styleId="7">
    <w:name w:val="heading 2"/>
    <w:basedOn w:val="1"/>
    <w:next w:val="8"/>
    <w:link w:val="40"/>
    <w:qFormat/>
    <w:uiPriority w:val="0"/>
    <w:pPr>
      <w:keepNext/>
      <w:keepLines/>
      <w:spacing w:before="260" w:after="260" w:line="416" w:lineRule="auto"/>
      <w:outlineLvl w:val="1"/>
    </w:pPr>
    <w:rPr>
      <w:rFonts w:ascii="等线 Light" w:hAnsi="等线 Light" w:eastAsia="等线 Light" w:cs="宋体"/>
      <w:b/>
      <w:bCs/>
      <w:sz w:val="32"/>
      <w:szCs w:val="32"/>
    </w:rPr>
  </w:style>
  <w:style w:type="paragraph" w:styleId="9">
    <w:name w:val="heading 3"/>
    <w:basedOn w:val="1"/>
    <w:next w:val="1"/>
    <w:link w:val="43"/>
    <w:qFormat/>
    <w:uiPriority w:val="0"/>
    <w:pPr>
      <w:keepNext/>
      <w:keepLines/>
      <w:tabs>
        <w:tab w:val="left" w:pos="5852"/>
      </w:tabs>
      <w:snapToGrid w:val="0"/>
      <w:spacing w:before="360" w:line="240" w:lineRule="exact"/>
      <w:outlineLvl w:val="2"/>
    </w:pPr>
    <w:rPr>
      <w:b/>
      <w:sz w:val="28"/>
    </w:rPr>
  </w:style>
  <w:style w:type="character" w:default="1" w:styleId="26">
    <w:name w:val="Default Paragraph Font"/>
    <w:qFormat/>
    <w:uiPriority w:val="1"/>
  </w:style>
  <w:style w:type="table" w:default="1" w:styleId="24">
    <w:name w:val="Normal Table"/>
    <w:qFormat/>
    <w:uiPriority w:val="99"/>
    <w:tblPr>
      <w:tblCellMar>
        <w:top w:w="0" w:type="dxa"/>
        <w:left w:w="108" w:type="dxa"/>
        <w:bottom w:w="0" w:type="dxa"/>
        <w:right w:w="108" w:type="dxa"/>
      </w:tblCellMar>
    </w:tblPr>
  </w:style>
  <w:style w:type="paragraph" w:styleId="2">
    <w:name w:val="Body Text First Indent 2"/>
    <w:basedOn w:val="3"/>
    <w:next w:val="5"/>
    <w:link w:val="114"/>
    <w:qFormat/>
    <w:uiPriority w:val="99"/>
    <w:pPr>
      <w:autoSpaceDE/>
      <w:autoSpaceDN/>
      <w:spacing w:after="120" w:line="240" w:lineRule="auto"/>
      <w:ind w:left="420" w:leftChars="200" w:firstLine="420" w:firstLineChars="200"/>
    </w:pPr>
    <w:rPr>
      <w:rFonts w:ascii="Times New Roman" w:hAnsi="Times New Roman" w:cs="Times New Roman"/>
      <w:sz w:val="21"/>
      <w:szCs w:val="20"/>
    </w:rPr>
  </w:style>
  <w:style w:type="paragraph" w:styleId="3">
    <w:name w:val="Body Text Indent"/>
    <w:basedOn w:val="1"/>
    <w:next w:val="4"/>
    <w:link w:val="41"/>
    <w:qFormat/>
    <w:uiPriority w:val="0"/>
    <w:pPr>
      <w:autoSpaceDE w:val="0"/>
      <w:autoSpaceDN w:val="0"/>
      <w:spacing w:line="360" w:lineRule="auto"/>
      <w:ind w:left="181" w:firstLine="539"/>
    </w:pPr>
    <w:rPr>
      <w:rFonts w:ascii="等线" w:hAnsi="等线" w:cs="宋体"/>
      <w:sz w:val="24"/>
      <w:szCs w:val="22"/>
    </w:rPr>
  </w:style>
  <w:style w:type="paragraph" w:styleId="4">
    <w:name w:val="envelope return"/>
    <w:basedOn w:val="1"/>
    <w:unhideWhenUsed/>
    <w:qFormat/>
    <w:uiPriority w:val="99"/>
    <w:pPr>
      <w:snapToGrid w:val="0"/>
    </w:pPr>
    <w:rPr>
      <w:rFonts w:ascii="Arial" w:hAnsi="Arial"/>
    </w:rPr>
  </w:style>
  <w:style w:type="paragraph" w:customStyle="1" w:styleId="5">
    <w:name w:val="样式 正文首行缩进 2 + Arial"/>
    <w:basedOn w:val="1"/>
    <w:next w:val="1"/>
    <w:qFormat/>
    <w:uiPriority w:val="0"/>
    <w:pPr>
      <w:spacing w:line="320" w:lineRule="atLeast"/>
      <w:ind w:firstLine="200" w:firstLineChars="200"/>
    </w:pPr>
    <w:rPr>
      <w:rFonts w:ascii="Arial" w:hAnsi="Arial"/>
      <w:kern w:val="0"/>
    </w:rPr>
  </w:style>
  <w:style w:type="paragraph" w:styleId="8">
    <w:name w:val="Normal Indent"/>
    <w:basedOn w:val="1"/>
    <w:link w:val="57"/>
    <w:qFormat/>
    <w:uiPriority w:val="0"/>
    <w:pPr>
      <w:ind w:firstLine="420"/>
    </w:pPr>
    <w:rPr>
      <w:rFonts w:ascii="等线" w:hAnsi="等线" w:cs="宋体"/>
      <w:szCs w:val="22"/>
    </w:rPr>
  </w:style>
  <w:style w:type="paragraph" w:styleId="10">
    <w:name w:val="Document Map"/>
    <w:basedOn w:val="1"/>
    <w:link w:val="74"/>
    <w:qFormat/>
    <w:uiPriority w:val="0"/>
    <w:pPr>
      <w:shd w:val="clear" w:color="auto" w:fill="000080"/>
    </w:pPr>
    <w:rPr>
      <w:szCs w:val="24"/>
    </w:rPr>
  </w:style>
  <w:style w:type="paragraph" w:styleId="11">
    <w:name w:val="annotation text"/>
    <w:basedOn w:val="1"/>
    <w:link w:val="72"/>
    <w:qFormat/>
    <w:uiPriority w:val="0"/>
    <w:pPr>
      <w:jc w:val="left"/>
    </w:pPr>
  </w:style>
  <w:style w:type="paragraph" w:styleId="12">
    <w:name w:val="Body Text"/>
    <w:basedOn w:val="1"/>
    <w:next w:val="1"/>
    <w:qFormat/>
    <w:uiPriority w:val="0"/>
    <w:pPr>
      <w:spacing w:after="120"/>
    </w:pPr>
    <w:rPr>
      <w:rFonts w:ascii="Calibri" w:hAnsi="Calibri" w:eastAsia="宋体" w:cs="Times New Roman"/>
      <w:kern w:val="0"/>
      <w:sz w:val="24"/>
    </w:rPr>
  </w:style>
  <w:style w:type="paragraph" w:styleId="13">
    <w:name w:val="Plain Text"/>
    <w:basedOn w:val="1"/>
    <w:link w:val="50"/>
    <w:qFormat/>
    <w:uiPriority w:val="0"/>
    <w:rPr>
      <w:rFonts w:ascii="宋体" w:hAnsi="Courier New" w:cs="宋体"/>
      <w:szCs w:val="22"/>
    </w:rPr>
  </w:style>
  <w:style w:type="paragraph" w:styleId="14">
    <w:name w:val="Date"/>
    <w:basedOn w:val="1"/>
    <w:next w:val="1"/>
    <w:link w:val="71"/>
    <w:qFormat/>
    <w:uiPriority w:val="0"/>
    <w:pPr>
      <w:ind w:left="100" w:leftChars="2500"/>
    </w:pPr>
    <w:rPr>
      <w:szCs w:val="24"/>
    </w:rPr>
  </w:style>
  <w:style w:type="paragraph" w:styleId="15">
    <w:name w:val="Body Text Indent 2"/>
    <w:basedOn w:val="1"/>
    <w:link w:val="52"/>
    <w:qFormat/>
    <w:uiPriority w:val="0"/>
    <w:pPr>
      <w:spacing w:after="120" w:line="480" w:lineRule="auto"/>
      <w:ind w:left="420" w:leftChars="200"/>
    </w:pPr>
    <w:rPr>
      <w:rFonts w:ascii="等线" w:hAnsi="等线" w:eastAsia="等线" w:cs="宋体"/>
      <w:szCs w:val="24"/>
    </w:rPr>
  </w:style>
  <w:style w:type="paragraph" w:styleId="16">
    <w:name w:val="Balloon Text"/>
    <w:basedOn w:val="1"/>
    <w:link w:val="76"/>
    <w:qFormat/>
    <w:uiPriority w:val="0"/>
    <w:rPr>
      <w:sz w:val="18"/>
      <w:szCs w:val="18"/>
    </w:rPr>
  </w:style>
  <w:style w:type="paragraph" w:styleId="17">
    <w:name w:val="footer"/>
    <w:basedOn w:val="1"/>
    <w:link w:val="63"/>
    <w:qFormat/>
    <w:uiPriority w:val="99"/>
    <w:pPr>
      <w:tabs>
        <w:tab w:val="center" w:pos="4153"/>
        <w:tab w:val="right" w:pos="8306"/>
      </w:tabs>
      <w:snapToGrid w:val="0"/>
      <w:jc w:val="left"/>
    </w:pPr>
    <w:rPr>
      <w:rFonts w:ascii="等线" w:hAnsi="等线" w:eastAsia="等线" w:cs="宋体"/>
      <w:sz w:val="18"/>
      <w:szCs w:val="18"/>
    </w:rPr>
  </w:style>
  <w:style w:type="paragraph" w:styleId="18">
    <w:name w:val="header"/>
    <w:basedOn w:val="1"/>
    <w:link w:val="65"/>
    <w:qFormat/>
    <w:uiPriority w:val="99"/>
    <w:pPr>
      <w:pBdr>
        <w:bottom w:val="single" w:color="auto" w:sz="6" w:space="1"/>
      </w:pBdr>
      <w:tabs>
        <w:tab w:val="center" w:pos="4153"/>
        <w:tab w:val="right" w:pos="8306"/>
      </w:tabs>
      <w:snapToGrid w:val="0"/>
      <w:jc w:val="center"/>
    </w:pPr>
    <w:rPr>
      <w:rFonts w:ascii="等线" w:hAnsi="等线" w:eastAsia="等线" w:cs="宋体"/>
      <w:sz w:val="18"/>
      <w:szCs w:val="18"/>
    </w:rPr>
  </w:style>
  <w:style w:type="paragraph" w:styleId="19">
    <w:name w:val="toc 1"/>
    <w:basedOn w:val="1"/>
    <w:next w:val="1"/>
    <w:qFormat/>
    <w:uiPriority w:val="39"/>
    <w:pPr>
      <w:tabs>
        <w:tab w:val="right" w:leader="dot" w:pos="8393"/>
      </w:tabs>
      <w:spacing w:line="500" w:lineRule="exact"/>
    </w:pPr>
    <w:rPr>
      <w:rFonts w:ascii="宋体" w:hAnsi="宋体"/>
      <w:b/>
      <w:bCs/>
      <w:color w:val="000000"/>
      <w:sz w:val="28"/>
      <w:szCs w:val="28"/>
    </w:rPr>
  </w:style>
  <w:style w:type="paragraph" w:styleId="20">
    <w:name w:val="toc 2"/>
    <w:basedOn w:val="1"/>
    <w:next w:val="1"/>
    <w:qFormat/>
    <w:uiPriority w:val="39"/>
    <w:pPr>
      <w:tabs>
        <w:tab w:val="right" w:leader="dot" w:pos="8393"/>
      </w:tabs>
      <w:spacing w:line="500" w:lineRule="exact"/>
      <w:ind w:left="420" w:leftChars="200"/>
      <w:jc w:val="center"/>
    </w:pPr>
    <w:rPr>
      <w:rFonts w:ascii="黑体" w:eastAsia="黑体"/>
      <w:sz w:val="32"/>
      <w:szCs w:val="32"/>
    </w:rPr>
  </w:style>
  <w:style w:type="paragraph" w:styleId="21">
    <w:name w:val="Normal (Web)"/>
    <w:basedOn w:val="1"/>
    <w:qFormat/>
    <w:uiPriority w:val="99"/>
    <w:pPr>
      <w:widowControl/>
      <w:spacing w:before="100" w:beforeAutospacing="1" w:after="100" w:afterAutospacing="1"/>
      <w:jc w:val="left"/>
    </w:pPr>
    <w:rPr>
      <w:rFonts w:ascii="宋体" w:hAnsi="宋体"/>
      <w:kern w:val="0"/>
      <w:sz w:val="24"/>
    </w:rPr>
  </w:style>
  <w:style w:type="paragraph" w:styleId="22">
    <w:name w:val="Title"/>
    <w:basedOn w:val="1"/>
    <w:link w:val="67"/>
    <w:qFormat/>
    <w:uiPriority w:val="0"/>
    <w:pPr>
      <w:tabs>
        <w:tab w:val="left" w:pos="420"/>
      </w:tabs>
      <w:spacing w:before="120" w:after="120" w:line="360" w:lineRule="auto"/>
      <w:ind w:left="420"/>
      <w:jc w:val="center"/>
      <w:outlineLvl w:val="0"/>
    </w:pPr>
    <w:rPr>
      <w:rFonts w:ascii="宋体" w:hAnsi="Verdana" w:eastAsia="等线" w:cs="Arial"/>
      <w:b/>
      <w:bCs/>
      <w:sz w:val="32"/>
      <w:szCs w:val="32"/>
    </w:rPr>
  </w:style>
  <w:style w:type="paragraph" w:styleId="23">
    <w:name w:val="annotation subject"/>
    <w:basedOn w:val="11"/>
    <w:next w:val="11"/>
    <w:link w:val="73"/>
    <w:qFormat/>
    <w:uiPriority w:val="0"/>
    <w:rPr>
      <w:b/>
      <w:bCs/>
      <w:szCs w:val="24"/>
    </w:rPr>
  </w:style>
  <w:style w:type="table" w:styleId="25">
    <w:name w:val="Table Grid"/>
    <w:basedOn w:val="24"/>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0"/>
    <w:rPr>
      <w:b/>
      <w:bCs/>
    </w:rPr>
  </w:style>
  <w:style w:type="character" w:styleId="28">
    <w:name w:val="FollowedHyperlink"/>
    <w:basedOn w:val="26"/>
    <w:qFormat/>
    <w:uiPriority w:val="0"/>
    <w:rPr>
      <w:color w:val="013F7C"/>
      <w:u w:val="none"/>
    </w:rPr>
  </w:style>
  <w:style w:type="character" w:styleId="29">
    <w:name w:val="Emphasis"/>
    <w:basedOn w:val="26"/>
    <w:qFormat/>
    <w:uiPriority w:val="0"/>
  </w:style>
  <w:style w:type="character" w:styleId="30">
    <w:name w:val="HTML Definition"/>
    <w:basedOn w:val="26"/>
    <w:qFormat/>
    <w:uiPriority w:val="0"/>
  </w:style>
  <w:style w:type="character" w:styleId="31">
    <w:name w:val="HTML Typewriter"/>
    <w:basedOn w:val="26"/>
    <w:qFormat/>
    <w:uiPriority w:val="0"/>
    <w:rPr>
      <w:rFonts w:ascii="宋体" w:hAnsi="宋体" w:eastAsia="宋体" w:cs="宋体"/>
      <w:sz w:val="24"/>
      <w:szCs w:val="24"/>
    </w:rPr>
  </w:style>
  <w:style w:type="character" w:styleId="32">
    <w:name w:val="HTML Variable"/>
    <w:basedOn w:val="26"/>
    <w:qFormat/>
    <w:uiPriority w:val="0"/>
  </w:style>
  <w:style w:type="character" w:styleId="33">
    <w:name w:val="Hyperlink"/>
    <w:basedOn w:val="26"/>
    <w:qFormat/>
    <w:uiPriority w:val="99"/>
    <w:rPr>
      <w:color w:val="013F7C"/>
      <w:u w:val="none"/>
    </w:rPr>
  </w:style>
  <w:style w:type="character" w:styleId="34">
    <w:name w:val="HTML Code"/>
    <w:basedOn w:val="26"/>
    <w:qFormat/>
    <w:uiPriority w:val="0"/>
    <w:rPr>
      <w:rFonts w:ascii="Courier New" w:hAnsi="Courier New"/>
      <w:sz w:val="20"/>
    </w:rPr>
  </w:style>
  <w:style w:type="character" w:styleId="35">
    <w:name w:val="annotation reference"/>
    <w:basedOn w:val="26"/>
    <w:qFormat/>
    <w:uiPriority w:val="0"/>
    <w:rPr>
      <w:sz w:val="21"/>
      <w:szCs w:val="21"/>
    </w:rPr>
  </w:style>
  <w:style w:type="character" w:styleId="36">
    <w:name w:val="HTML Cite"/>
    <w:basedOn w:val="26"/>
    <w:qFormat/>
    <w:uiPriority w:val="0"/>
  </w:style>
  <w:style w:type="paragraph" w:customStyle="1" w:styleId="37">
    <w:name w:val="￥正文"/>
    <w:basedOn w:val="1"/>
    <w:qFormat/>
    <w:uiPriority w:val="0"/>
    <w:pPr>
      <w:widowControl w:val="0"/>
      <w:spacing w:line="360" w:lineRule="auto"/>
      <w:ind w:firstLine="200" w:firstLineChars="200"/>
      <w:textAlignment w:val="auto"/>
    </w:pPr>
    <w:rPr>
      <w:rFonts w:ascii="Calibri" w:hAnsi="Calibri"/>
      <w:color w:val="auto"/>
      <w:sz w:val="24"/>
      <w:u w:val="none" w:color="auto"/>
    </w:rPr>
  </w:style>
  <w:style w:type="paragraph" w:customStyle="1" w:styleId="38">
    <w:name w:val="章节题目"/>
    <w:basedOn w:val="39"/>
    <w:next w:val="1"/>
    <w:qFormat/>
    <w:uiPriority w:val="0"/>
    <w:pPr>
      <w:spacing w:before="720" w:after="400" w:line="540" w:lineRule="atLeast"/>
      <w:ind w:right="2160"/>
    </w:pPr>
    <w:rPr>
      <w:rFonts w:ascii="Times New Roman" w:hAnsi="Times New Roman"/>
      <w:spacing w:val="-40"/>
      <w:sz w:val="60"/>
    </w:rPr>
  </w:style>
  <w:style w:type="paragraph" w:customStyle="1" w:styleId="39">
    <w:name w:val="基准标题"/>
    <w:basedOn w:val="1"/>
    <w:next w:val="12"/>
    <w:qFormat/>
    <w:uiPriority w:val="0"/>
    <w:pPr>
      <w:keepNext/>
      <w:keepLines/>
      <w:widowControl w:val="0"/>
      <w:spacing w:before="140" w:line="220" w:lineRule="atLeast"/>
    </w:pPr>
    <w:rPr>
      <w:rFonts w:ascii="Arial" w:hAnsi="Arial"/>
      <w:spacing w:val="-4"/>
      <w:kern w:val="28"/>
      <w:sz w:val="22"/>
    </w:rPr>
  </w:style>
  <w:style w:type="character" w:customStyle="1" w:styleId="40">
    <w:name w:val="标题 2 Char"/>
    <w:basedOn w:val="26"/>
    <w:link w:val="7"/>
    <w:qFormat/>
    <w:uiPriority w:val="0"/>
    <w:rPr>
      <w:rFonts w:ascii="等线 Light" w:hAnsi="等线 Light" w:eastAsia="等线 Light" w:cs="宋体"/>
      <w:b/>
      <w:bCs/>
      <w:sz w:val="32"/>
      <w:szCs w:val="32"/>
    </w:rPr>
  </w:style>
  <w:style w:type="character" w:customStyle="1" w:styleId="41">
    <w:name w:val="正文文本缩进 Char"/>
    <w:link w:val="3"/>
    <w:qFormat/>
    <w:uiPriority w:val="0"/>
    <w:rPr>
      <w:rFonts w:eastAsia="宋体"/>
      <w:sz w:val="24"/>
    </w:rPr>
  </w:style>
  <w:style w:type="character" w:customStyle="1" w:styleId="42">
    <w:name w:val="正文文本缩进 字符1"/>
    <w:basedOn w:val="26"/>
    <w:qFormat/>
    <w:uiPriority w:val="99"/>
    <w:rPr>
      <w:rFonts w:ascii="Times New Roman" w:hAnsi="Times New Roman" w:eastAsia="宋体" w:cs="Times New Roman"/>
      <w:szCs w:val="20"/>
    </w:rPr>
  </w:style>
  <w:style w:type="character" w:customStyle="1" w:styleId="43">
    <w:name w:val="标题 3 Char"/>
    <w:basedOn w:val="26"/>
    <w:link w:val="9"/>
    <w:qFormat/>
    <w:uiPriority w:val="0"/>
    <w:rPr>
      <w:rFonts w:ascii="Times New Roman" w:hAnsi="Times New Roman" w:eastAsia="宋体" w:cs="Times New Roman"/>
      <w:b/>
      <w:sz w:val="28"/>
      <w:szCs w:val="20"/>
    </w:rPr>
  </w:style>
  <w:style w:type="character" w:customStyle="1" w:styleId="44">
    <w:name w:val="current"/>
    <w:basedOn w:val="26"/>
    <w:qFormat/>
    <w:uiPriority w:val="0"/>
    <w:rPr>
      <w:b/>
      <w:color w:val="FF0084"/>
    </w:rPr>
  </w:style>
  <w:style w:type="character" w:customStyle="1" w:styleId="45">
    <w:name w:val="批注文字 Char"/>
    <w:basedOn w:val="26"/>
    <w:qFormat/>
    <w:uiPriority w:val="0"/>
    <w:rPr>
      <w:rFonts w:eastAsia="宋体"/>
      <w:kern w:val="2"/>
      <w:sz w:val="21"/>
      <w:szCs w:val="24"/>
      <w:lang w:val="en-US" w:eastAsia="zh-CN" w:bidi="ar-SA"/>
    </w:rPr>
  </w:style>
  <w:style w:type="character" w:customStyle="1" w:styleId="46">
    <w:name w:val="批注文字 字符"/>
    <w:basedOn w:val="26"/>
    <w:qFormat/>
    <w:uiPriority w:val="0"/>
    <w:rPr>
      <w:rFonts w:eastAsia="宋体"/>
      <w:kern w:val="2"/>
      <w:sz w:val="21"/>
      <w:szCs w:val="24"/>
      <w:lang w:val="en-US" w:eastAsia="zh-CN" w:bidi="ar-SA"/>
    </w:rPr>
  </w:style>
  <w:style w:type="character" w:customStyle="1" w:styleId="47">
    <w:name w:val="Underrubrik1 Char Char"/>
    <w:qFormat/>
    <w:uiPriority w:val="0"/>
    <w:rPr>
      <w:rFonts w:ascii="Arial" w:hAnsi="Arial"/>
      <w:b/>
      <w:bCs/>
      <w:color w:val="000000"/>
      <w:sz w:val="30"/>
    </w:rPr>
  </w:style>
  <w:style w:type="character" w:customStyle="1" w:styleId="48">
    <w:name w:val="样式3 Char Char"/>
    <w:link w:val="49"/>
    <w:qFormat/>
    <w:uiPriority w:val="0"/>
    <w:rPr>
      <w:rFonts w:ascii="宋体" w:hAnsi="Courier New"/>
      <w:sz w:val="28"/>
      <w:szCs w:val="24"/>
    </w:rPr>
  </w:style>
  <w:style w:type="paragraph" w:customStyle="1" w:styleId="49">
    <w:name w:val="样式3"/>
    <w:basedOn w:val="13"/>
    <w:link w:val="48"/>
    <w:qFormat/>
    <w:uiPriority w:val="0"/>
    <w:pPr>
      <w:spacing w:line="0" w:lineRule="atLeast"/>
      <w:outlineLvl w:val="0"/>
    </w:pPr>
    <w:rPr>
      <w:rFonts w:eastAsia="等线"/>
      <w:sz w:val="28"/>
      <w:szCs w:val="24"/>
    </w:rPr>
  </w:style>
  <w:style w:type="character" w:customStyle="1" w:styleId="50">
    <w:name w:val="纯文本 Char"/>
    <w:basedOn w:val="26"/>
    <w:link w:val="13"/>
    <w:qFormat/>
    <w:uiPriority w:val="0"/>
    <w:rPr>
      <w:rFonts w:ascii="宋体" w:hAnsi="Courier New" w:eastAsia="宋体"/>
    </w:rPr>
  </w:style>
  <w:style w:type="character" w:customStyle="1" w:styleId="51">
    <w:name w:val="ds-reads-from"/>
    <w:basedOn w:val="26"/>
    <w:qFormat/>
    <w:uiPriority w:val="0"/>
  </w:style>
  <w:style w:type="character" w:customStyle="1" w:styleId="52">
    <w:name w:val="正文文本缩进 2 Char"/>
    <w:basedOn w:val="26"/>
    <w:link w:val="15"/>
    <w:qFormat/>
    <w:uiPriority w:val="0"/>
    <w:rPr>
      <w:szCs w:val="24"/>
    </w:rPr>
  </w:style>
  <w:style w:type="character" w:customStyle="1" w:styleId="53">
    <w:name w:val="Char Char5"/>
    <w:basedOn w:val="26"/>
    <w:qFormat/>
    <w:uiPriority w:val="0"/>
    <w:rPr>
      <w:rFonts w:ascii="宋体" w:hAnsi="Courier New" w:eastAsia="宋体"/>
      <w:kern w:val="2"/>
      <w:sz w:val="21"/>
      <w:lang w:val="en-US" w:eastAsia="zh-CN" w:bidi="ar-SA"/>
    </w:rPr>
  </w:style>
  <w:style w:type="character" w:customStyle="1" w:styleId="54">
    <w:name w:val="普通文字 Char Char1"/>
    <w:basedOn w:val="26"/>
    <w:qFormat/>
    <w:uiPriority w:val="0"/>
    <w:rPr>
      <w:rFonts w:ascii="宋体" w:hAnsi="Courier New" w:eastAsia="宋体"/>
      <w:kern w:val="2"/>
      <w:sz w:val="21"/>
      <w:lang w:val="en-US" w:eastAsia="zh-CN" w:bidi="ar-SA"/>
    </w:rPr>
  </w:style>
  <w:style w:type="character" w:customStyle="1" w:styleId="55">
    <w:name w:val="ds-reads-app-special"/>
    <w:basedOn w:val="26"/>
    <w:qFormat/>
    <w:uiPriority w:val="0"/>
    <w:rPr>
      <w:color w:val="FFFFFF"/>
      <w:shd w:val="clear" w:color="auto" w:fill="F94A47"/>
    </w:rPr>
  </w:style>
  <w:style w:type="character" w:customStyle="1" w:styleId="56">
    <w:name w:val="font81"/>
    <w:basedOn w:val="26"/>
    <w:qFormat/>
    <w:uiPriority w:val="0"/>
    <w:rPr>
      <w:rFonts w:ascii="新宋体" w:hAnsi="新宋体" w:eastAsia="新宋体" w:cs="新宋体"/>
      <w:color w:val="000000"/>
      <w:sz w:val="21"/>
      <w:szCs w:val="21"/>
      <w:u w:val="none"/>
    </w:rPr>
  </w:style>
  <w:style w:type="character" w:customStyle="1" w:styleId="57">
    <w:name w:val="正文缩进 Char"/>
    <w:basedOn w:val="26"/>
    <w:link w:val="8"/>
    <w:qFormat/>
    <w:uiPriority w:val="0"/>
    <w:rPr>
      <w:rFonts w:eastAsia="宋体"/>
    </w:rPr>
  </w:style>
  <w:style w:type="character" w:customStyle="1" w:styleId="58">
    <w:name w:val="font91"/>
    <w:basedOn w:val="26"/>
    <w:qFormat/>
    <w:uiPriority w:val="0"/>
    <w:rPr>
      <w:rFonts w:ascii="Arial" w:hAnsi="Arial" w:cs="Arial"/>
      <w:color w:val="000000"/>
      <w:sz w:val="21"/>
      <w:szCs w:val="21"/>
      <w:u w:val="none"/>
    </w:rPr>
  </w:style>
  <w:style w:type="character" w:customStyle="1" w:styleId="59">
    <w:name w:val="font101"/>
    <w:basedOn w:val="26"/>
    <w:qFormat/>
    <w:uiPriority w:val="0"/>
    <w:rPr>
      <w:rFonts w:ascii="宋体" w:hAnsi="宋体" w:eastAsia="宋体" w:cs="宋体"/>
      <w:color w:val="000000"/>
      <w:sz w:val="21"/>
      <w:szCs w:val="21"/>
      <w:u w:val="none"/>
    </w:rPr>
  </w:style>
  <w:style w:type="character" w:customStyle="1" w:styleId="60">
    <w:name w:val="p141"/>
    <w:qFormat/>
    <w:uiPriority w:val="0"/>
    <w:rPr>
      <w:sz w:val="21"/>
      <w:szCs w:val="21"/>
    </w:rPr>
  </w:style>
  <w:style w:type="character" w:customStyle="1" w:styleId="61">
    <w:name w:val="font11"/>
    <w:basedOn w:val="26"/>
    <w:qFormat/>
    <w:uiPriority w:val="0"/>
    <w:rPr>
      <w:rFonts w:ascii="新宋体" w:hAnsi="新宋体" w:eastAsia="新宋体" w:cs="新宋体"/>
      <w:color w:val="000000"/>
      <w:sz w:val="21"/>
      <w:szCs w:val="21"/>
      <w:u w:val="none"/>
    </w:rPr>
  </w:style>
  <w:style w:type="character" w:customStyle="1" w:styleId="62">
    <w:name w:val="Char Char"/>
    <w:basedOn w:val="26"/>
    <w:qFormat/>
    <w:uiPriority w:val="0"/>
    <w:rPr>
      <w:rFonts w:ascii="宋体" w:hAnsi="Courier New" w:eastAsia="宋体"/>
      <w:kern w:val="2"/>
      <w:sz w:val="21"/>
      <w:lang w:val="en-US" w:eastAsia="zh-CN" w:bidi="ar-SA"/>
    </w:rPr>
  </w:style>
  <w:style w:type="character" w:customStyle="1" w:styleId="63">
    <w:name w:val="页脚 Char"/>
    <w:basedOn w:val="26"/>
    <w:link w:val="17"/>
    <w:qFormat/>
    <w:uiPriority w:val="99"/>
    <w:rPr>
      <w:sz w:val="18"/>
      <w:szCs w:val="18"/>
    </w:rPr>
  </w:style>
  <w:style w:type="character" w:customStyle="1" w:styleId="64">
    <w:name w:val="ask-title2"/>
    <w:basedOn w:val="26"/>
    <w:qFormat/>
    <w:uiPriority w:val="0"/>
  </w:style>
  <w:style w:type="character" w:customStyle="1" w:styleId="65">
    <w:name w:val="页眉 Char"/>
    <w:basedOn w:val="26"/>
    <w:link w:val="18"/>
    <w:qFormat/>
    <w:uiPriority w:val="99"/>
    <w:rPr>
      <w:sz w:val="18"/>
      <w:szCs w:val="18"/>
    </w:rPr>
  </w:style>
  <w:style w:type="character" w:customStyle="1" w:styleId="66">
    <w:name w:val="标题 字符1"/>
    <w:basedOn w:val="26"/>
    <w:qFormat/>
    <w:uiPriority w:val="0"/>
    <w:rPr>
      <w:rFonts w:ascii="Cambria" w:hAnsi="Cambria" w:eastAsia="宋体" w:cs="宋体"/>
      <w:b/>
      <w:bCs/>
      <w:kern w:val="2"/>
      <w:sz w:val="32"/>
      <w:szCs w:val="32"/>
    </w:rPr>
  </w:style>
  <w:style w:type="character" w:customStyle="1" w:styleId="67">
    <w:name w:val="标题 Char"/>
    <w:link w:val="22"/>
    <w:qFormat/>
    <w:uiPriority w:val="0"/>
    <w:rPr>
      <w:rFonts w:ascii="宋体" w:hAnsi="Verdana" w:cs="Arial"/>
      <w:b/>
      <w:bCs/>
      <w:sz w:val="32"/>
      <w:szCs w:val="32"/>
    </w:rPr>
  </w:style>
  <w:style w:type="character" w:customStyle="1" w:styleId="68">
    <w:name w:val="ds-unread-count"/>
    <w:basedOn w:val="26"/>
    <w:qFormat/>
    <w:uiPriority w:val="0"/>
    <w:rPr>
      <w:b/>
      <w:color w:val="EE3322"/>
    </w:rPr>
  </w:style>
  <w:style w:type="character" w:customStyle="1" w:styleId="69">
    <w:name w:val="纯文本 字符1"/>
    <w:basedOn w:val="26"/>
    <w:qFormat/>
    <w:uiPriority w:val="99"/>
    <w:rPr>
      <w:rFonts w:ascii="等线" w:hAnsi="Courier New" w:cs="Courier New"/>
      <w:szCs w:val="20"/>
    </w:rPr>
  </w:style>
  <w:style w:type="character" w:customStyle="1" w:styleId="70">
    <w:name w:val="正文文本缩进 2 字符1"/>
    <w:basedOn w:val="26"/>
    <w:qFormat/>
    <w:uiPriority w:val="99"/>
    <w:rPr>
      <w:rFonts w:ascii="Times New Roman" w:hAnsi="Times New Roman" w:eastAsia="宋体" w:cs="Times New Roman"/>
      <w:szCs w:val="20"/>
    </w:rPr>
  </w:style>
  <w:style w:type="character" w:customStyle="1" w:styleId="71">
    <w:name w:val="日期 Char"/>
    <w:basedOn w:val="26"/>
    <w:link w:val="14"/>
    <w:qFormat/>
    <w:uiPriority w:val="0"/>
    <w:rPr>
      <w:rFonts w:ascii="Times New Roman" w:hAnsi="Times New Roman" w:eastAsia="宋体" w:cs="Times New Roman"/>
      <w:szCs w:val="24"/>
    </w:rPr>
  </w:style>
  <w:style w:type="character" w:customStyle="1" w:styleId="72">
    <w:name w:val="批注文字 Char1"/>
    <w:basedOn w:val="26"/>
    <w:link w:val="11"/>
    <w:qFormat/>
    <w:uiPriority w:val="99"/>
    <w:rPr>
      <w:rFonts w:ascii="Times New Roman" w:hAnsi="Times New Roman" w:eastAsia="宋体" w:cs="Times New Roman"/>
      <w:szCs w:val="20"/>
    </w:rPr>
  </w:style>
  <w:style w:type="character" w:customStyle="1" w:styleId="73">
    <w:name w:val="批注主题 Char"/>
    <w:basedOn w:val="72"/>
    <w:link w:val="23"/>
    <w:qFormat/>
    <w:uiPriority w:val="0"/>
    <w:rPr>
      <w:rFonts w:ascii="Times New Roman" w:hAnsi="Times New Roman" w:eastAsia="宋体" w:cs="Times New Roman"/>
      <w:b/>
      <w:bCs/>
      <w:szCs w:val="24"/>
    </w:rPr>
  </w:style>
  <w:style w:type="character" w:customStyle="1" w:styleId="74">
    <w:name w:val="文档结构图 Char"/>
    <w:basedOn w:val="26"/>
    <w:link w:val="10"/>
    <w:qFormat/>
    <w:uiPriority w:val="0"/>
    <w:rPr>
      <w:rFonts w:ascii="Times New Roman" w:hAnsi="Times New Roman" w:eastAsia="宋体" w:cs="Times New Roman"/>
      <w:szCs w:val="24"/>
      <w:shd w:val="clear" w:color="auto" w:fill="000080"/>
    </w:rPr>
  </w:style>
  <w:style w:type="character" w:customStyle="1" w:styleId="75">
    <w:name w:val="页眉 字符1"/>
    <w:basedOn w:val="26"/>
    <w:qFormat/>
    <w:uiPriority w:val="99"/>
    <w:rPr>
      <w:rFonts w:ascii="Times New Roman" w:hAnsi="Times New Roman" w:eastAsia="宋体" w:cs="Times New Roman"/>
      <w:sz w:val="18"/>
      <w:szCs w:val="18"/>
    </w:rPr>
  </w:style>
  <w:style w:type="character" w:customStyle="1" w:styleId="76">
    <w:name w:val="批注框文本 Char"/>
    <w:basedOn w:val="26"/>
    <w:link w:val="16"/>
    <w:qFormat/>
    <w:uiPriority w:val="0"/>
    <w:rPr>
      <w:rFonts w:ascii="Times New Roman" w:hAnsi="Times New Roman" w:eastAsia="宋体" w:cs="Times New Roman"/>
      <w:sz w:val="18"/>
      <w:szCs w:val="18"/>
    </w:rPr>
  </w:style>
  <w:style w:type="character" w:customStyle="1" w:styleId="77">
    <w:name w:val="页脚 字符1"/>
    <w:basedOn w:val="26"/>
    <w:qFormat/>
    <w:uiPriority w:val="99"/>
    <w:rPr>
      <w:rFonts w:ascii="Times New Roman" w:hAnsi="Times New Roman" w:eastAsia="宋体" w:cs="Times New Roman"/>
      <w:sz w:val="18"/>
      <w:szCs w:val="18"/>
    </w:rPr>
  </w:style>
  <w:style w:type="character" w:customStyle="1" w:styleId="78">
    <w:name w:val="标题 字符2"/>
    <w:basedOn w:val="26"/>
    <w:qFormat/>
    <w:uiPriority w:val="10"/>
    <w:rPr>
      <w:rFonts w:ascii="等线 Light" w:hAnsi="等线 Light" w:eastAsia="等线 Light" w:cs="宋体"/>
      <w:b/>
      <w:bCs/>
      <w:sz w:val="32"/>
      <w:szCs w:val="32"/>
    </w:rPr>
  </w:style>
  <w:style w:type="paragraph" w:customStyle="1" w:styleId="79">
    <w:name w:val="样式 标题 2 + Times New Roman 四号 非加粗 段前: 5 磅 段后: 0 磅 行距: 固定值 20..."/>
    <w:basedOn w:val="7"/>
    <w:qFormat/>
    <w:uiPriority w:val="0"/>
    <w:pPr>
      <w:spacing w:before="100" w:after="0" w:line="400" w:lineRule="exact"/>
    </w:pPr>
    <w:rPr>
      <w:rFonts w:ascii="Times New Roman" w:hAnsi="Times New Roman" w:eastAsia="黑体" w:cs="宋体"/>
      <w:b w:val="0"/>
      <w:bCs w:val="0"/>
      <w:sz w:val="28"/>
      <w:szCs w:val="20"/>
    </w:rPr>
  </w:style>
  <w:style w:type="paragraph" w:customStyle="1" w:styleId="80">
    <w:name w:val="Char Char Char Char Char Char Char"/>
    <w:basedOn w:val="1"/>
    <w:qFormat/>
    <w:uiPriority w:val="0"/>
    <w:rPr>
      <w:szCs w:val="24"/>
    </w:rPr>
  </w:style>
  <w:style w:type="paragraph" w:customStyle="1" w:styleId="81">
    <w:name w:val="列出段落5"/>
    <w:basedOn w:val="1"/>
    <w:qFormat/>
    <w:uiPriority w:val="99"/>
    <w:pPr>
      <w:ind w:firstLine="420" w:firstLineChars="200"/>
    </w:pPr>
    <w:rPr>
      <w:szCs w:val="24"/>
    </w:rPr>
  </w:style>
  <w:style w:type="paragraph" w:customStyle="1" w:styleId="82">
    <w:name w:val="List Paragraph1"/>
    <w:basedOn w:val="1"/>
    <w:qFormat/>
    <w:uiPriority w:val="99"/>
    <w:pPr>
      <w:widowControl/>
      <w:spacing w:after="200" w:line="276" w:lineRule="auto"/>
      <w:ind w:left="720"/>
      <w:contextualSpacing/>
      <w:jc w:val="left"/>
    </w:pPr>
    <w:rPr>
      <w:rFonts w:ascii="Calibri" w:hAnsi="Calibri"/>
      <w:kern w:val="0"/>
      <w:sz w:val="22"/>
      <w:szCs w:val="22"/>
    </w:rPr>
  </w:style>
  <w:style w:type="paragraph" w:customStyle="1" w:styleId="83">
    <w:name w:val="正文文本缩进1"/>
    <w:basedOn w:val="1"/>
    <w:qFormat/>
    <w:uiPriority w:val="0"/>
    <w:pPr>
      <w:widowControl/>
      <w:spacing w:after="120"/>
      <w:ind w:left="420" w:leftChars="200"/>
      <w:jc w:val="left"/>
    </w:pPr>
    <w:rPr>
      <w:kern w:val="0"/>
      <w:sz w:val="34"/>
    </w:rPr>
  </w:style>
  <w:style w:type="paragraph" w:customStyle="1" w:styleId="84">
    <w:name w:val="列出段落4"/>
    <w:basedOn w:val="1"/>
    <w:qFormat/>
    <w:uiPriority w:val="99"/>
    <w:pPr>
      <w:ind w:firstLine="420" w:firstLineChars="200"/>
    </w:pPr>
    <w:rPr>
      <w:szCs w:val="24"/>
    </w:rPr>
  </w:style>
  <w:style w:type="paragraph" w:customStyle="1" w:styleId="85">
    <w:name w:val="列出段落11"/>
    <w:basedOn w:val="1"/>
    <w:qFormat/>
    <w:uiPriority w:val="0"/>
    <w:pPr>
      <w:ind w:firstLine="420" w:firstLineChars="200"/>
    </w:pPr>
    <w:rPr>
      <w:szCs w:val="24"/>
    </w:rPr>
  </w:style>
  <w:style w:type="paragraph" w:customStyle="1" w:styleId="86">
    <w:name w:val="xl8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sz w:val="18"/>
      <w:szCs w:val="18"/>
    </w:rPr>
  </w:style>
  <w:style w:type="paragraph" w:customStyle="1" w:styleId="87">
    <w:name w:val="_Style 49"/>
    <w:basedOn w:val="1"/>
    <w:next w:val="13"/>
    <w:qFormat/>
    <w:uiPriority w:val="0"/>
    <w:rPr>
      <w:rFonts w:ascii="宋体" w:hAnsi="Courier New"/>
      <w:sz w:val="24"/>
    </w:rPr>
  </w:style>
  <w:style w:type="paragraph" w:customStyle="1" w:styleId="88">
    <w:name w:val="Char"/>
    <w:basedOn w:val="1"/>
    <w:next w:val="1"/>
    <w:qFormat/>
    <w:uiPriority w:val="0"/>
    <w:pPr>
      <w:widowControl/>
      <w:spacing w:after="160" w:line="240" w:lineRule="exact"/>
      <w:jc w:val="left"/>
    </w:pPr>
    <w:rPr>
      <w:rFonts w:ascii="Verdana" w:hAnsi="Verdana"/>
      <w:kern w:val="0"/>
      <w:sz w:val="20"/>
      <w:lang w:eastAsia="en-US"/>
    </w:rPr>
  </w:style>
  <w:style w:type="paragraph" w:customStyle="1" w:styleId="89">
    <w:name w:val="_Style 13"/>
    <w:basedOn w:val="1"/>
    <w:qFormat/>
    <w:uiPriority w:val="0"/>
    <w:pPr>
      <w:spacing w:after="160" w:line="240" w:lineRule="exact"/>
    </w:pPr>
  </w:style>
  <w:style w:type="paragraph" w:customStyle="1" w:styleId="9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1">
    <w:name w:val="正文2"/>
    <w:basedOn w:val="92"/>
    <w:qFormat/>
    <w:uiPriority w:val="0"/>
    <w:pPr>
      <w:tabs>
        <w:tab w:val="left" w:pos="420"/>
      </w:tabs>
      <w:adjustRightInd/>
      <w:spacing w:line="360" w:lineRule="auto"/>
      <w:ind w:left="420" w:hanging="420"/>
    </w:pPr>
    <w:rPr>
      <w:kern w:val="2"/>
      <w:sz w:val="24"/>
      <w:szCs w:val="24"/>
    </w:rPr>
  </w:style>
  <w:style w:type="paragraph" w:customStyle="1" w:styleId="92">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93">
    <w:name w:val="_Style 12"/>
    <w:basedOn w:val="10"/>
    <w:qFormat/>
    <w:uiPriority w:val="0"/>
    <w:pPr>
      <w:adjustRightInd w:val="0"/>
      <w:snapToGrid w:val="0"/>
      <w:spacing w:line="360" w:lineRule="auto"/>
    </w:pPr>
    <w:rPr>
      <w:rFonts w:hAnsi="Tahoma"/>
      <w:sz w:val="24"/>
      <w:szCs w:val="20"/>
    </w:rPr>
  </w:style>
  <w:style w:type="paragraph" w:customStyle="1" w:styleId="94">
    <w:name w:val="列出段落1"/>
    <w:basedOn w:val="1"/>
    <w:qFormat/>
    <w:uiPriority w:val="0"/>
    <w:pPr>
      <w:ind w:firstLine="420" w:firstLineChars="200"/>
    </w:pPr>
    <w:rPr>
      <w:rFonts w:ascii="Calibri" w:hAnsi="Calibri"/>
    </w:rPr>
  </w:style>
  <w:style w:type="paragraph" w:customStyle="1" w:styleId="95">
    <w:name w:val="Char1 Char Char Char Char Char Char1"/>
    <w:basedOn w:val="1"/>
    <w:qFormat/>
    <w:uiPriority w:val="0"/>
    <w:pPr>
      <w:spacing w:after="160" w:line="240" w:lineRule="exact"/>
    </w:pPr>
  </w:style>
  <w:style w:type="paragraph" w:customStyle="1" w:styleId="96">
    <w:name w:val="示例×："/>
    <w:basedOn w:val="1"/>
    <w:qFormat/>
    <w:uiPriority w:val="0"/>
    <w:pPr>
      <w:widowControl/>
    </w:pPr>
    <w:rPr>
      <w:rFonts w:ascii="宋体"/>
      <w:kern w:val="0"/>
      <w:sz w:val="18"/>
      <w:szCs w:val="18"/>
    </w:rPr>
  </w:style>
  <w:style w:type="paragraph" w:customStyle="1" w:styleId="97">
    <w:name w:val="默认段落字体 Para Char Char Char Char Char Char Char"/>
    <w:basedOn w:val="1"/>
    <w:qFormat/>
    <w:uiPriority w:val="0"/>
    <w:pPr>
      <w:spacing w:line="360" w:lineRule="auto"/>
    </w:pPr>
  </w:style>
  <w:style w:type="paragraph" w:customStyle="1" w:styleId="98">
    <w:name w:val="Char Char Char"/>
    <w:basedOn w:val="1"/>
    <w:qFormat/>
    <w:uiPriority w:val="0"/>
    <w:rPr>
      <w:szCs w:val="24"/>
    </w:rPr>
  </w:style>
  <w:style w:type="paragraph" w:customStyle="1" w:styleId="99">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00">
    <w:name w:val="列出段落3"/>
    <w:basedOn w:val="1"/>
    <w:qFormat/>
    <w:uiPriority w:val="0"/>
    <w:pPr>
      <w:ind w:firstLine="420" w:firstLineChars="200"/>
    </w:pPr>
    <w:rPr>
      <w:szCs w:val="24"/>
    </w:rPr>
  </w:style>
  <w:style w:type="paragraph" w:customStyle="1" w:styleId="101">
    <w:name w:val="列出段落2"/>
    <w:basedOn w:val="1"/>
    <w:qFormat/>
    <w:uiPriority w:val="0"/>
    <w:pPr>
      <w:ind w:firstLine="420" w:firstLineChars="200"/>
    </w:pPr>
    <w:rPr>
      <w:szCs w:val="24"/>
    </w:rPr>
  </w:style>
  <w:style w:type="paragraph" w:customStyle="1" w:styleId="102">
    <w:name w:val="样式 首行缩进:  2 字符"/>
    <w:basedOn w:val="1"/>
    <w:qFormat/>
    <w:uiPriority w:val="0"/>
    <w:pPr>
      <w:ind w:firstLine="420" w:firstLineChars="200"/>
    </w:pPr>
    <w:rPr>
      <w:rFonts w:ascii="宋体" w:cs="宋体"/>
    </w:rPr>
  </w:style>
  <w:style w:type="paragraph" w:customStyle="1" w:styleId="10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04">
    <w:name w:val="正文 A"/>
    <w:qFormat/>
    <w:uiPriority w:val="0"/>
    <w:pPr>
      <w:framePr w:wrap="around" w:vAnchor="margin" w:hAnchor="text" w:y="1"/>
      <w:widowControl w:val="0"/>
      <w:jc w:val="both"/>
    </w:pPr>
    <w:rPr>
      <w:rFonts w:ascii="Calibri" w:hAnsi="Calibri" w:eastAsia="Calibri" w:cs="Calibri"/>
      <w:color w:val="000000"/>
      <w:kern w:val="2"/>
      <w:sz w:val="21"/>
      <w:szCs w:val="21"/>
      <w:lang w:val="en-US" w:eastAsia="zh-CN" w:bidi="ar-SA"/>
    </w:rPr>
  </w:style>
  <w:style w:type="paragraph" w:customStyle="1" w:styleId="105">
    <w:name w:val="Char Char1 Char Char Char Char Char Char"/>
    <w:basedOn w:val="1"/>
    <w:qFormat/>
    <w:uiPriority w:val="0"/>
    <w:pPr>
      <w:adjustRightInd w:val="0"/>
      <w:snapToGrid w:val="0"/>
      <w:spacing w:beforeLines="25" w:afterLines="25" w:line="240" w:lineRule="exact"/>
      <w:ind w:firstLine="560" w:firstLineChars="192"/>
    </w:pPr>
    <w:rPr>
      <w:szCs w:val="24"/>
    </w:rPr>
  </w:style>
  <w:style w:type="paragraph" w:customStyle="1" w:styleId="106">
    <w:name w:val="样式1"/>
    <w:basedOn w:val="1"/>
    <w:qFormat/>
    <w:uiPriority w:val="0"/>
    <w:pPr>
      <w:numPr>
        <w:ilvl w:val="0"/>
        <w:numId w:val="1"/>
      </w:numPr>
      <w:tabs>
        <w:tab w:val="left" w:pos="709"/>
      </w:tabs>
    </w:pPr>
    <w:rPr>
      <w:rFonts w:ascii="宋体" w:hAnsi="宋体"/>
      <w:szCs w:val="21"/>
    </w:rPr>
  </w:style>
  <w:style w:type="paragraph" w:customStyle="1" w:styleId="107">
    <w:name w:val="Char Char Char Char"/>
    <w:basedOn w:val="10"/>
    <w:qFormat/>
    <w:uiPriority w:val="0"/>
    <w:pPr>
      <w:adjustRightInd w:val="0"/>
      <w:snapToGrid w:val="0"/>
      <w:spacing w:line="360" w:lineRule="auto"/>
    </w:pPr>
  </w:style>
  <w:style w:type="paragraph" w:customStyle="1" w:styleId="108">
    <w:name w:val="msonormalcxspmiddle"/>
    <w:basedOn w:val="1"/>
    <w:qFormat/>
    <w:uiPriority w:val="0"/>
    <w:pPr>
      <w:widowControl/>
      <w:spacing w:before="280" w:after="280"/>
      <w:jc w:val="left"/>
    </w:pPr>
    <w:rPr>
      <w:rFonts w:ascii="宋体" w:hAnsi="宋体" w:cs="宋体"/>
      <w:kern w:val="1"/>
      <w:sz w:val="24"/>
      <w:szCs w:val="24"/>
      <w:lang w:eastAsia="ar-SA"/>
    </w:rPr>
  </w:style>
  <w:style w:type="paragraph" w:customStyle="1" w:styleId="109">
    <w:name w:val="List Paragraph_32a8a71d-9d51-41db-9a20-0e87fd3ab526"/>
    <w:basedOn w:val="1"/>
    <w:qFormat/>
    <w:uiPriority w:val="99"/>
    <w:pPr>
      <w:ind w:firstLine="420" w:firstLineChars="200"/>
    </w:pPr>
    <w:rPr>
      <w:szCs w:val="24"/>
    </w:rPr>
  </w:style>
  <w:style w:type="paragraph" w:customStyle="1" w:styleId="110">
    <w:name w:val="表格"/>
    <w:basedOn w:val="1"/>
    <w:qFormat/>
    <w:uiPriority w:val="0"/>
    <w:pPr>
      <w:spacing w:line="400" w:lineRule="exact"/>
    </w:pPr>
    <w:rPr>
      <w:sz w:val="24"/>
      <w:szCs w:val="24"/>
    </w:rPr>
  </w:style>
  <w:style w:type="paragraph" w:styleId="111">
    <w:name w:val="List Paragraph"/>
    <w:basedOn w:val="1"/>
    <w:qFormat/>
    <w:uiPriority w:val="34"/>
    <w:pPr>
      <w:ind w:firstLine="420" w:firstLineChars="200"/>
    </w:pPr>
  </w:style>
  <w:style w:type="character" w:customStyle="1" w:styleId="112">
    <w:name w:val="标题 1 Char"/>
    <w:basedOn w:val="26"/>
    <w:link w:val="6"/>
    <w:qFormat/>
    <w:uiPriority w:val="9"/>
    <w:rPr>
      <w:rFonts w:ascii="Times New Roman" w:hAnsi="Times New Roman" w:eastAsia="宋体" w:cs="Times New Roman"/>
      <w:b/>
      <w:bCs/>
      <w:kern w:val="44"/>
      <w:sz w:val="44"/>
      <w:szCs w:val="44"/>
    </w:rPr>
  </w:style>
  <w:style w:type="paragraph" w:customStyle="1" w:styleId="113">
    <w:name w:val="TOC 标题1"/>
    <w:basedOn w:val="6"/>
    <w:next w:val="1"/>
    <w:qFormat/>
    <w:uiPriority w:val="39"/>
    <w:pPr>
      <w:widowControl/>
      <w:spacing w:before="240" w:after="0" w:line="259" w:lineRule="auto"/>
      <w:jc w:val="left"/>
      <w:outlineLvl w:val="9"/>
    </w:pPr>
    <w:rPr>
      <w:rFonts w:ascii="等线 Light" w:hAnsi="等线 Light" w:eastAsia="等线 Light" w:cs="宋体"/>
      <w:b w:val="0"/>
      <w:bCs w:val="0"/>
      <w:color w:val="2E75B6"/>
      <w:kern w:val="0"/>
      <w:sz w:val="32"/>
      <w:szCs w:val="32"/>
    </w:rPr>
  </w:style>
  <w:style w:type="character" w:customStyle="1" w:styleId="114">
    <w:name w:val="正文首行缩进 2 Char"/>
    <w:basedOn w:val="41"/>
    <w:link w:val="2"/>
    <w:qFormat/>
    <w:uiPriority w:val="99"/>
    <w:rPr>
      <w:rFonts w:ascii="Times New Roman" w:hAnsi="Times New Roman" w:eastAsia="宋体" w:cs="Times New Roman"/>
      <w:sz w:val="24"/>
      <w:szCs w:val="20"/>
    </w:rPr>
  </w:style>
  <w:style w:type="table" w:customStyle="1" w:styleId="115">
    <w:name w:val="TableGrid"/>
    <w:qFormat/>
    <w:uiPriority w:val="0"/>
    <w:tblPr>
      <w:tblCellMar>
        <w:top w:w="0" w:type="dxa"/>
        <w:left w:w="0" w:type="dxa"/>
        <w:bottom w:w="0" w:type="dxa"/>
        <w:right w:w="0" w:type="dxa"/>
      </w:tblCellMar>
    </w:tblPr>
  </w:style>
  <w:style w:type="paragraph" w:customStyle="1" w:styleId="116">
    <w:name w:val="ParaAttribute13"/>
    <w:qFormat/>
    <w:uiPriority w:val="0"/>
    <w:pPr>
      <w:widowControl w:val="0"/>
      <w:wordWrap w:val="0"/>
      <w:ind w:left="-106"/>
    </w:pPr>
    <w:rPr>
      <w:rFonts w:ascii="Times New Roman" w:hAnsi="Times New Roman" w:eastAsia="Batang" w:cs="Times New Roman"/>
      <w:sz w:val="21"/>
      <w:szCs w:val="22"/>
      <w:lang w:val="en-US" w:eastAsia="zh-CN" w:bidi="ar-SA"/>
    </w:rPr>
  </w:style>
  <w:style w:type="paragraph" w:customStyle="1" w:styleId="117">
    <w:name w:val="newstyle16"/>
    <w:basedOn w:val="1"/>
    <w:qFormat/>
    <w:uiPriority w:val="0"/>
    <w:pPr>
      <w:widowControl/>
      <w:jc w:val="left"/>
    </w:pPr>
    <w:rPr>
      <w:rFonts w:ascii="宋体" w:hAnsi="宋体" w:cs="宋体"/>
      <w:kern w:val="0"/>
      <w:sz w:val="24"/>
    </w:rPr>
  </w:style>
  <w:style w:type="table" w:customStyle="1" w:styleId="11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10810E-3ED8-47B6-9482-07F6CAAEF0B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58</Pages>
  <Words>28246</Words>
  <Characters>30362</Characters>
  <Paragraphs>1361</Paragraphs>
  <TotalTime>127</TotalTime>
  <ScaleCrop>false</ScaleCrop>
  <LinksUpToDate>false</LinksUpToDate>
  <CharactersWithSpaces>32407</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2019-10-23T23:54:00Z</dcterms:created>
  <dc:creator>AutoBVT</dc:creator>
  <cp:lastModifiedBy>过 四 级</cp:lastModifiedBy>
  <cp:lastPrinted>2020-07-14T09:10:00Z</cp:lastPrinted>
  <dcterms:modified xsi:type="dcterms:W3CDTF">2023-08-15T02:21:20Z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F255A1B9DE97492C8458DFF52E2AA413_13</vt:lpwstr>
  </property>
</Properties>
</file>