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right" w:leader="dot" w:pos="9015"/>
        </w:tabs>
        <w:spacing w:line="360" w:lineRule="auto"/>
        <w:ind w:left="0" w:leftChars="0" w:firstLine="0" w:firstLineChars="0"/>
        <w:jc w:val="center"/>
        <w:outlineLvl w:val="0"/>
        <w:rPr>
          <w:rFonts w:hint="default" w:cs="Arial"/>
          <w:b/>
          <w:bCs/>
          <w:iCs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smallCaps/>
          <w:color w:val="auto"/>
          <w:sz w:val="44"/>
          <w:szCs w:val="44"/>
          <w:lang w:val="en-US" w:eastAsia="zh-CN"/>
        </w:rPr>
        <w:t>采购需求书</w:t>
      </w:r>
    </w:p>
    <w:p>
      <w:pPr>
        <w:spacing w:after="156" w:afterLines="50" w:line="360" w:lineRule="auto"/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</w:pPr>
      <w:bookmarkStart w:id="0" w:name="_Toc20121"/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一、项目</w:t>
      </w:r>
      <w:bookmarkEnd w:id="0"/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1、项目编号：ZJGJHN-2023-038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2、项目名称：文化长廊展陈工程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3、项目地点：海南医学院第二附属医院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4、资金来源：自筹资金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5、采购预算（最高限价）：¥2125383.26元（大写：贰佰壹拾贰万伍仟叁佰捌拾叁元贰角陆分），超过最高限价的报价无效。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6、项目内容：文化长廊展陈工程项目，长廊总长度约 1000米，本项目包含设计深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优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化、文字图案排版及相关制作、安装服务。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参考资料为：“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附件1.风雨连廊平面布局图，附件2.文化长廊初步布局图，附件3.文化长廊立面图，附件4.项目清单”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7、付款方式：双方协商(以合同签订为准)。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8、合同履行期限（交付期）：合同签订后25个日历天内完成并验收合格。</w:t>
      </w:r>
    </w:p>
    <w:p>
      <w:pPr>
        <w:spacing w:after="156" w:afterLines="50" w:line="360" w:lineRule="auto"/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二、项目要求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参考资料详见：“附件1.风雨连廊平面布局图，附件2.文化长廊初步布局图，附件3.文化长廊立面图，附件4.项目清单”；供应商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可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自行组织现场查勘，采购人不再另行组织踏勘。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1.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应根据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现场实际情况与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参考资料内容，自行进行成本测算、报价。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2.中标供应商应根据参考资料结合现场情况，积极协调采购人完善图纸（如有需要）并确定最终制作、安装方案，确保工期与质量。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3.投标报价要求：应以人民币报价。报价应包含所有踏勘、深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优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化设计、产品生产制作、运输、施工安装及相关配电通电、调试验收、税费、售后服务费等直至交付正常使用的所有费用。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  <w:t>技术参数要求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（一） 产品规格型号、尺寸、工艺等质量应符合参考资料要求，详见：“附件1.风雨连廊平面布局图、附件2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文化长廊初步布局图、附件3.文化长廊立面图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附件4.项目清单”要求。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（二） 技术要求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1、产品所执行的标准：符合国家、地方、行业标准。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2、材料要求：环保、节能，具有耐磨、耐候性、耐腐蚀、环保等特点。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3、工艺：油漆、印刷等图案清晰、永久不脱落。安装牢固、安全稳定，考虑通电后产生温度升高问题，确保安全稳定运行。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）安装要求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1、安装地点：海南医学院第二附属医院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2、根据不同工况状况进行安装，确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保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安全牢固、外观整洁，视界美观。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  <w:t>四、质量保修期及售后服务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本项目质量保修期 2 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由于质量、材料、工艺、制造、安装等问题对本项目造成影响的，由供应商负责，质保期内免费维保。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2.质保期内，如出现质量问题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由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成交供应商应及时维修，须在7天内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完成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维修或更换，并承担因此而产生的一切费用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直至恢复正常使用。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3.质保期外，因货物本身质量问题，成交供应商在接采购人通知后，仍应派人赶到采购人现场，帮助排除故障、修复或更换零部件，需购买零部件时，仅收取成本费。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4.质保期内成交供应商提供上门免费服务，在质保期内设置7×24小时热线服务（固话、手机），成交供应商在接报后 24小时内派出维修人员赶到现场，确保尽快恢复正常使用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五．</w:t>
      </w: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  <w:t>验收标准：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主材所执行的标准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符合国家、地方、行业标准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，且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环保、节能。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（提供相关检查报告）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.各类材质、工艺、装置、空间布局和数量、尺寸等应符合“附件1：风雨连廊平面布局图、附件2：文化长廊初步布局图、附件3：文化长廊立面图、附件4：项目清单”要求，满足采购人要求。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3.安全牢固、外观整洁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、美观。</w:t>
      </w:r>
    </w:p>
    <w:p>
      <w:pPr>
        <w:pStyle w:val="3"/>
        <w:rPr>
          <w:rFonts w:hint="default"/>
          <w:b/>
          <w:bCs/>
          <w:color w:val="auto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附: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附件1：风雨连廊平面布局图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（另附）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；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附件2：文化长廊初步布局图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（另附）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；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附件3：文化长廊立面图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（另附）；</w:t>
      </w:r>
    </w:p>
    <w:p>
      <w:pPr>
        <w:numPr>
          <w:ilvl w:val="0"/>
          <w:numId w:val="0"/>
        </w:numPr>
        <w:ind w:firstLine="560" w:firstLineChars="200"/>
        <w:jc w:val="both"/>
        <w:outlineLvl w:val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bookmarkStart w:id="1" w:name="_Toc31577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附件4：项目清单</w:t>
      </w:r>
      <w:bookmarkEnd w:id="1"/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61"/>
        <w:gridCol w:w="3341"/>
        <w:gridCol w:w="658"/>
        <w:gridCol w:w="2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工艺参数及规格（mm)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区域01：医疗实力展示区-文化长廊西环(总长约230米)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引导类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长廊指引立牌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1.5mm304#不锈钢板激光切割精丁爆接，打磨，扇灰后两层底漆，两层面漆，信息内容贴膜或者丝印，文化长廊。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2.包柱：长220*宽220*高600；方向牌：长700*高120*4块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指引吊牌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1.5mm304#不锈钢板激光切割精工煜接，打磨、扇灰后两层底漆，两层面漆，内置正白LED灯带，面板5mm乳白色亚克力透光板通体发光。信息内容贴膜或者丝印，悬吊安装；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2.长1800×高320×厚120；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照明马灯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1.宽230*高400；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2.户外防水防锈马灯，玻璃灯罩，壁挂；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展陈类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4.长4720×高1800×厚40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4.长5120×高1800×厚40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4.长5120×高1800×厚40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区域02：文化历史展示区-文化长廊北环(总长约210米)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引导类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长廊指引立牌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1.5mm304#不锈钢板激光切割精丁爆接，打磨，扇灰后两层底漆，两层面漆，信息内容贴膜或者丝印，文化长廊。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2.包柱：长220*宽220*高600；方向牌：长700*高120*4块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指引吊牌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1.5mm304#不锈钢板激光切割精工煜接，打磨、扇灰后两层底漆，两层面漆，内置正白LED灯带，面板5mm乳白色亚克力透光板通体发光。信息内容贴膜或者丝印，悬吊安装；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2.长2400×高320×厚120；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照明马灯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1.宽230*高400；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2.户外防水防锈马灯，玻璃灯罩，壁挂；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展陈类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4.长4720×高1800×厚40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4.长4720×高1800×厚40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4.长4720×高1800×厚40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4.长4720×高1800×厚40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区域03：使命担当展示区-文化长廊东环(总长约230米)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引导类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长廊指引立牌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1.5mm304#不锈钢板激光切割精丁爆接，打磨，扇灰后两层底漆，两层面漆，信息内容贴膜或者丝印，文化长廊。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2.包柱：长220*宽220*高600；方向牌：长700*高120*4块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指引吊牌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1.5mm304#不锈钢板激光切割精工煜接，打磨、扇灰后两层底漆，两层面漆，内置正白LED灯带，面板5mm乳白色亚克力透光板通体发光。信息内容贴膜或者丝印，悬吊安装；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2.长1800×高320×厚120；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照明马灯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1.宽230*高400；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2.户外防水防锈马灯，玻璃灯罩，壁挂；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展陈类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区域04：多彩文化展示区-文化长廊南环(总长约292米)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引导类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长廊指引立牌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1.5mm304#不锈钢板激光切割精丁爆接，打磨，扇灰后两层底漆，两层面漆，信息内容贴膜或者丝印，文化长廊。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2.包柱：长220*宽220*高600；方向牌：长700*高120*4块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指引吊牌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1.5mm304#不锈钢板激光切割精工煜接，打磨、扇灰后两层底漆，两层面漆，内置正白LED灯带，面板5mm乳白色亚克力透光板通体发光。信息内容贴膜或者丝印，悬吊安装；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2.长1800×高320×厚120；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照明马灯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1.宽230*高400；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2.户外防水防锈马灯，玻璃灯罩，壁挂；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4.长2700×高1800×厚40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4.长4830×高1800×厚40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文化长廊展板</w:t>
            </w:r>
          </w:p>
        </w:tc>
        <w:tc>
          <w:tcPr>
            <w:tcW w:w="1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 方通焊接骨架，防锈喷漆处理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 1.5mm304#不锈钢板激光切割精工焊接，打磨、扇灰后两层底漆，两层面漆。文化长廊结构柱上固定安装。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 展陈内容:3M贴膜+局部8mm厚亚克力烤漆立体字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4.长5260×高1800×厚40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5.详见设计文件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56.82</w:t>
            </w:r>
          </w:p>
        </w:tc>
      </w:tr>
    </w:tbl>
    <w:p>
      <w:pPr>
        <w:jc w:val="center"/>
        <w:outlineLvl w:val="0"/>
        <w:rPr>
          <w:rFonts w:hint="eastAsia" w:asciiTheme="minorEastAsia" w:hAnsiTheme="minorEastAsia" w:eastAsiaTheme="minorEastAsia" w:cstheme="minorEastAsia"/>
          <w:b/>
          <w:smallCap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mallCaps/>
          <w:color w:val="auto"/>
          <w:kern w:val="2"/>
          <w:sz w:val="24"/>
          <w:szCs w:val="24"/>
          <w:lang w:val="en-US" w:eastAsia="zh-CN" w:bidi="ar-SA"/>
        </w:rPr>
        <w:t>注：请供应商认真测算，本项目报价包括价格、安装费（包含人工、水电）、辅材、耗材、运输及运输保险费用。项目实施过程中所需的采购文件中未列出的其他一切费用（如税费等）由供应商在报价时一并考虑，项目实施过程中不再单独结算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16D5"/>
    <w:rsid w:val="0336740B"/>
    <w:rsid w:val="79B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3">
    <w:name w:val="Body Text"/>
    <w:basedOn w:val="1"/>
    <w:uiPriority w:val="0"/>
    <w:rPr>
      <w:sz w:val="28"/>
    </w:rPr>
  </w:style>
  <w:style w:type="paragraph" w:styleId="4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2023-08-20T14:26:00Z</dcterms:created>
  <dc:creator>hncg</dc:creator>
  <cp:lastModifiedBy>hncg</cp:lastModifiedBy>
  <dcterms:modified xsi:type="dcterms:W3CDTF">2023-08-20T14:57:33Z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