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1"/>
        </w:numPr>
        <w:ind w:firstLine="880" w:firstLineChars="200"/>
        <w:rPr>
          <w:rStyle w:val="9"/>
          <w:rFonts w:hint="eastAsia" w:ascii="宋体" w:hAnsi="宋体" w:cs="宋体"/>
          <w:b w:val="0"/>
          <w:bCs w:val="0"/>
          <w:color w:val="auto"/>
          <w:lang w:val="en-US" w:eastAsia="zh-CN"/>
        </w:rPr>
      </w:pPr>
      <w:bookmarkStart w:id="0" w:name="_GoBack"/>
      <w:bookmarkEnd w:id="0"/>
      <w:r>
        <w:rPr>
          <w:rStyle w:val="9"/>
          <w:rFonts w:hint="eastAsia" w:ascii="宋体" w:hAnsi="宋体" w:cs="宋体"/>
          <w:b w:val="0"/>
          <w:bCs w:val="0"/>
          <w:color w:val="auto"/>
          <w:lang w:val="en-US" w:eastAsia="zh-CN"/>
        </w:rPr>
        <w:t>采购需求</w:t>
      </w:r>
    </w:p>
    <w:p>
      <w:pPr>
        <w:pStyle w:val="6"/>
        <w:spacing w:before="0" w:line="360" w:lineRule="auto"/>
        <w:rPr>
          <w:rFonts w:ascii="宋体" w:hAnsi="宋体" w:cs="宋体"/>
          <w:color w:val="auto"/>
        </w:rPr>
      </w:pPr>
      <w:r>
        <w:rPr>
          <w:rFonts w:hint="eastAsia" w:ascii="宋体" w:hAnsi="宋体" w:cs="宋体"/>
          <w:color w:val="auto"/>
        </w:rPr>
        <w:t>A包</w:t>
      </w:r>
    </w:p>
    <w:p>
      <w:pPr>
        <w:spacing w:line="460" w:lineRule="exact"/>
        <w:ind w:firstLine="480" w:firstLineChars="200"/>
        <w:jc w:val="left"/>
        <w:rPr>
          <w:rFonts w:ascii="宋体" w:hAnsi="宋体" w:cs="宋体"/>
          <w:color w:val="auto"/>
          <w:sz w:val="24"/>
          <w:szCs w:val="24"/>
        </w:rPr>
      </w:pPr>
      <w:r>
        <w:rPr>
          <w:rFonts w:hint="eastAsia" w:ascii="宋体" w:hAnsi="宋体" w:cs="宋体"/>
          <w:color w:val="auto"/>
          <w:kern w:val="0"/>
          <w:sz w:val="24"/>
          <w:szCs w:val="24"/>
        </w:rPr>
        <w:t>■</w:t>
      </w:r>
      <w:r>
        <w:rPr>
          <w:rFonts w:hint="eastAsia" w:ascii="宋体" w:hAnsi="宋体" w:cs="宋体"/>
          <w:color w:val="auto"/>
          <w:sz w:val="24"/>
          <w:szCs w:val="24"/>
        </w:rPr>
        <w:t>技术要求</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本分包网络租赁服务内容包含6</w:t>
      </w:r>
      <w:r>
        <w:rPr>
          <w:rFonts w:hint="eastAsia" w:ascii="宋体" w:hAnsi="宋体" w:cs="宋体"/>
          <w:color w:val="auto"/>
          <w:sz w:val="24"/>
          <w:szCs w:val="24"/>
          <w:lang w:val="en-US" w:eastAsia="zh-CN"/>
        </w:rPr>
        <w:t>5</w:t>
      </w:r>
      <w:r>
        <w:rPr>
          <w:rFonts w:hint="eastAsia" w:ascii="宋体" w:hAnsi="宋体" w:cs="宋体"/>
          <w:color w:val="auto"/>
          <w:sz w:val="24"/>
          <w:szCs w:val="24"/>
        </w:rPr>
        <w:t>条线路及48张物联网卡，详见下表。</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108" w:type="dxa"/>
          <w:bottom w:w="0" w:type="dxa"/>
          <w:right w:w="108" w:type="dxa"/>
        </w:tblCellMar>
      </w:tblPr>
      <w:tblGrid>
        <w:gridCol w:w="544"/>
        <w:gridCol w:w="1401"/>
        <w:gridCol w:w="5783"/>
        <w:gridCol w:w="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25" w:hRule="atLeast"/>
          <w:jc w:val="center"/>
        </w:trPr>
        <w:tc>
          <w:tcPr>
            <w:tcW w:w="319" w:type="pct"/>
            <w:shd w:val="clear" w:color="auto" w:fill="FFFFFF"/>
            <w:vAlign w:val="center"/>
          </w:tcPr>
          <w:p>
            <w:pPr>
              <w:spacing w:line="460" w:lineRule="exact"/>
              <w:jc w:val="center"/>
              <w:rPr>
                <w:rFonts w:ascii="宋体" w:hAnsi="宋体" w:cs="宋体"/>
                <w:b/>
                <w:color w:val="auto"/>
                <w:sz w:val="24"/>
                <w:szCs w:val="24"/>
              </w:rPr>
            </w:pPr>
            <w:r>
              <w:rPr>
                <w:rFonts w:hint="eastAsia" w:ascii="宋体" w:hAnsi="宋体" w:cs="宋体"/>
                <w:b/>
                <w:color w:val="auto"/>
                <w:sz w:val="24"/>
                <w:szCs w:val="24"/>
              </w:rPr>
              <w:t>序号</w:t>
            </w:r>
          </w:p>
        </w:tc>
        <w:tc>
          <w:tcPr>
            <w:tcW w:w="822" w:type="pct"/>
            <w:shd w:val="clear" w:color="auto" w:fill="FFFFFF"/>
            <w:vAlign w:val="center"/>
          </w:tcPr>
          <w:p>
            <w:pPr>
              <w:spacing w:line="460" w:lineRule="exact"/>
              <w:jc w:val="center"/>
              <w:rPr>
                <w:rFonts w:ascii="宋体" w:hAnsi="宋体" w:cs="宋体"/>
                <w:b/>
                <w:color w:val="auto"/>
                <w:sz w:val="24"/>
                <w:szCs w:val="24"/>
              </w:rPr>
            </w:pPr>
            <w:r>
              <w:rPr>
                <w:rFonts w:hint="eastAsia" w:ascii="宋体" w:hAnsi="宋体" w:cs="宋体"/>
                <w:b/>
                <w:color w:val="auto"/>
                <w:sz w:val="24"/>
                <w:szCs w:val="24"/>
              </w:rPr>
              <w:t>A端名称</w:t>
            </w:r>
          </w:p>
        </w:tc>
        <w:tc>
          <w:tcPr>
            <w:tcW w:w="3393" w:type="pct"/>
            <w:shd w:val="clear" w:color="auto" w:fill="FFFFFF"/>
            <w:vAlign w:val="center"/>
          </w:tcPr>
          <w:p>
            <w:pPr>
              <w:spacing w:line="460" w:lineRule="exact"/>
              <w:jc w:val="center"/>
              <w:rPr>
                <w:rFonts w:ascii="宋体" w:hAnsi="宋体" w:cs="宋体"/>
                <w:b/>
                <w:color w:val="auto"/>
                <w:sz w:val="24"/>
                <w:szCs w:val="24"/>
              </w:rPr>
            </w:pPr>
            <w:r>
              <w:rPr>
                <w:rFonts w:hint="eastAsia" w:ascii="宋体" w:hAnsi="宋体" w:cs="宋体"/>
                <w:b/>
                <w:color w:val="auto"/>
                <w:sz w:val="24"/>
                <w:szCs w:val="24"/>
              </w:rPr>
              <w:t>B端名称</w:t>
            </w:r>
          </w:p>
        </w:tc>
        <w:tc>
          <w:tcPr>
            <w:tcW w:w="466" w:type="pct"/>
            <w:shd w:val="clear" w:color="auto" w:fill="FFFFFF"/>
            <w:vAlign w:val="center"/>
          </w:tcPr>
          <w:p>
            <w:pPr>
              <w:spacing w:line="460" w:lineRule="exact"/>
              <w:jc w:val="center"/>
              <w:rPr>
                <w:rFonts w:ascii="宋体" w:hAnsi="宋体" w:cs="宋体"/>
                <w:b/>
                <w:color w:val="auto"/>
                <w:sz w:val="24"/>
                <w:szCs w:val="24"/>
              </w:rPr>
            </w:pPr>
            <w:r>
              <w:rPr>
                <w:rFonts w:hint="eastAsia" w:ascii="宋体" w:hAnsi="宋体" w:cs="宋体"/>
                <w:b/>
                <w:color w:val="auto"/>
                <w:sz w:val="24"/>
                <w:szCs w:val="24"/>
              </w:rPr>
              <w:t>带宽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w:t>
            </w:r>
          </w:p>
        </w:tc>
        <w:tc>
          <w:tcPr>
            <w:tcW w:w="822" w:type="pct"/>
            <w:vMerge w:val="restar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海南省交通运输路网监测和应急指挥保障中心</w:t>
            </w: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海南省交通运输厅</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3</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海南省交通规费征稽局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交通部路网中心</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5</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海南省公路勘察设计院</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6</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海南省交通工程质量监督管理局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7</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海南省交通运输老干部活动中心</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8</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海南省船舶引航站</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9</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海南省交通学校</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10</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海南省海峡办</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8M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11</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海口市交通运输和港航管理局信息中心</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12</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海南省公路管理局海口公路局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13</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海南省公路管理局城西办公点</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14</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海南省公路管理局三亚公路局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15</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海南省公路管理局白沙公路分局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16</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海南省公路管理局保亭公路分局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17</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海南省公路管理局昌江公路分局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18</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海南省公路管理局儋州公路分局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19</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海南省公路管理局定安公路分局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20</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海南省公路管理局乐东公路分局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21</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海南省公路管理局临高公路分局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22</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海南省公路管理局陵水公路分局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23</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海南省公路管理局琼中公路分局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24</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海南省公路管理局屯昌公路分局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25</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海南省公路管理局万宁公路分局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26</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海南省公路管理局文昌公路分局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27</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海南省公路管理局五指山公路分局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28</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海南省公路管理局澄迈公路分局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29</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海南省公路管理局东方公路分局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30</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海南省公路管理局琼海公路分局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31</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电信互联网机房（信息中心机房互联网出口）</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32</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电信互联网机房（移动VPN）</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33</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海口航道所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34</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海南省航道疏浚工程队</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35</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乐东交通运输局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36</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洋浦港</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8M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37</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三亚港</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8M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38</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东方交通局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8M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39</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文昌口岸办</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8M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40</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保亭交通运输局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41</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海南省交通运输工会</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42</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海南港航控股</w:t>
            </w:r>
          </w:p>
        </w:tc>
        <w:tc>
          <w:tcPr>
            <w:tcW w:w="466" w:type="pct"/>
            <w:shd w:val="clear" w:color="auto"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43</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海汽集团新机房</w:t>
            </w:r>
          </w:p>
        </w:tc>
        <w:tc>
          <w:tcPr>
            <w:tcW w:w="466" w:type="pct"/>
            <w:shd w:val="clear" w:color="auto"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20M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44</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省公路局应急处置中心</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30M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45</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港航大厦</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46</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华能</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47</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美兰机场</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48</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博鳌机场</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49</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凤凰机场</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50</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洋浦港</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51</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金海纸浆</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52</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南方航空</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53</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省交通规费征稽局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54</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海南省公路水路安全畅通和应急处置系统4G物联网卡</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55</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海南省交通运输厅高速公路执法海口分局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8M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56</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海南省交通运输厅高速公路执法三亚分局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8M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57</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海南省交通运输厅高速公路执法儋州分局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8M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319" w:type="pct"/>
            <w:shd w:val="clear" w:color="auto"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58</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博鳌隧道</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59</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物流系统互联网出口</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30M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60</w:t>
            </w:r>
          </w:p>
        </w:tc>
        <w:tc>
          <w:tcPr>
            <w:tcW w:w="822" w:type="pct"/>
            <w:vMerge w:val="restar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海南省公路管理局三亚公路局</w:t>
            </w:r>
          </w:p>
        </w:tc>
        <w:tc>
          <w:tcPr>
            <w:tcW w:w="3393" w:type="pct"/>
            <w:shd w:val="clear" w:color="auto"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三亚航道所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61</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海南省公路管理局三亚公路材料管理站</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62</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儋州航道所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63</w:t>
            </w:r>
          </w:p>
        </w:tc>
        <w:tc>
          <w:tcPr>
            <w:tcW w:w="822" w:type="pct"/>
            <w:vMerge w:val="restar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海南省公路管理局文昌公路分局</w:t>
            </w:r>
          </w:p>
        </w:tc>
        <w:tc>
          <w:tcPr>
            <w:tcW w:w="3393" w:type="pct"/>
            <w:shd w:val="clear" w:color="auto"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清澜航道所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64</w:t>
            </w:r>
          </w:p>
        </w:tc>
        <w:tc>
          <w:tcPr>
            <w:tcW w:w="822" w:type="pct"/>
            <w:vMerge w:val="continue"/>
            <w:shd w:val="clear" w:color="auto" w:fill="FFFFFF"/>
            <w:vAlign w:val="center"/>
          </w:tcPr>
          <w:p>
            <w:pPr>
              <w:spacing w:line="460" w:lineRule="exact"/>
              <w:jc w:val="center"/>
              <w:rPr>
                <w:rFonts w:ascii="宋体" w:hAnsi="宋体" w:cs="宋体"/>
                <w:color w:val="auto"/>
                <w:sz w:val="24"/>
                <w:szCs w:val="24"/>
              </w:rPr>
            </w:pPr>
          </w:p>
        </w:tc>
        <w:tc>
          <w:tcPr>
            <w:tcW w:w="3393" w:type="pct"/>
            <w:shd w:val="clear" w:color="auto"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铺前航道所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319"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65</w:t>
            </w:r>
          </w:p>
        </w:tc>
        <w:tc>
          <w:tcPr>
            <w:tcW w:w="822"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海南省公路管理局琼海公路分局</w:t>
            </w:r>
          </w:p>
        </w:tc>
        <w:tc>
          <w:tcPr>
            <w:tcW w:w="3393" w:type="pct"/>
            <w:shd w:val="clear" w:color="auto"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琼海航道所</w:t>
            </w:r>
          </w:p>
        </w:tc>
        <w:tc>
          <w:tcPr>
            <w:tcW w:w="466" w:type="pct"/>
            <w:shd w:val="clear" w:color="auto"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bl>
    <w:p>
      <w:pPr>
        <w:pStyle w:val="2"/>
        <w:spacing w:line="460" w:lineRule="exact"/>
        <w:ind w:left="0" w:leftChars="0" w:firstLine="480"/>
        <w:rPr>
          <w:rFonts w:ascii="宋体" w:hAnsi="宋体" w:cs="宋体"/>
          <w:color w:val="auto"/>
          <w:sz w:val="24"/>
        </w:rPr>
      </w:pPr>
      <w:r>
        <w:rPr>
          <w:rFonts w:hint="eastAsia" w:ascii="宋体" w:hAnsi="宋体" w:cs="宋体"/>
          <w:bCs/>
          <w:color w:val="auto"/>
          <w:sz w:val="24"/>
        </w:rPr>
        <w:t>投标人提供的线路需满足以下租赁服务要求：</w:t>
      </w:r>
    </w:p>
    <w:p>
      <w:pPr>
        <w:pStyle w:val="2"/>
        <w:spacing w:line="460" w:lineRule="exact"/>
        <w:ind w:left="0" w:leftChars="0" w:firstLine="471" w:firstLineChars="196"/>
        <w:rPr>
          <w:rFonts w:ascii="宋体" w:hAnsi="宋体" w:cs="宋体"/>
          <w:b/>
          <w:bCs/>
          <w:color w:val="auto"/>
          <w:sz w:val="24"/>
        </w:rPr>
      </w:pPr>
      <w:r>
        <w:rPr>
          <w:rFonts w:hint="eastAsia" w:ascii="宋体" w:hAnsi="宋体" w:cs="宋体"/>
          <w:b/>
          <w:bCs/>
          <w:color w:val="auto"/>
          <w:sz w:val="24"/>
        </w:rPr>
        <w:t>1.1线路质量要求</w:t>
      </w:r>
    </w:p>
    <w:p>
      <w:pPr>
        <w:pStyle w:val="2"/>
        <w:spacing w:line="460" w:lineRule="exact"/>
        <w:ind w:left="0" w:leftChars="0" w:firstLine="480"/>
        <w:outlineLvl w:val="0"/>
        <w:rPr>
          <w:rFonts w:ascii="宋体" w:hAnsi="宋体" w:cs="宋体"/>
          <w:color w:val="auto"/>
          <w:sz w:val="24"/>
        </w:rPr>
      </w:pPr>
      <w:r>
        <w:rPr>
          <w:rFonts w:hint="eastAsia" w:ascii="宋体" w:hAnsi="宋体" w:cs="宋体"/>
          <w:color w:val="auto"/>
          <w:sz w:val="24"/>
        </w:rPr>
        <w:t>1.线路通路可用率达到99.9%；</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2.线路验收指标为：比特率误码率小于10-7；</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3.互联网专线必须实现从用户端最多2跳出省。</w:t>
      </w:r>
    </w:p>
    <w:p>
      <w:pPr>
        <w:pStyle w:val="2"/>
        <w:spacing w:line="460" w:lineRule="exact"/>
        <w:ind w:left="0" w:leftChars="0" w:firstLine="471" w:firstLineChars="196"/>
        <w:outlineLvl w:val="0"/>
        <w:rPr>
          <w:rFonts w:ascii="宋体" w:hAnsi="宋体" w:cs="宋体"/>
          <w:b/>
          <w:bCs/>
          <w:color w:val="auto"/>
          <w:sz w:val="24"/>
        </w:rPr>
      </w:pPr>
      <w:r>
        <w:rPr>
          <w:rFonts w:hint="eastAsia" w:ascii="宋体" w:hAnsi="宋体" w:cs="宋体"/>
          <w:b/>
          <w:bCs/>
          <w:color w:val="auto"/>
          <w:sz w:val="24"/>
        </w:rPr>
        <w:t>1.2线路平均恢复时间要求</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对于采购人网络线路故障，投标人在故障发生后应立即响应。需要现场处理的，在道路畅通无拥塞的情况下，投标人应在1小时内响应故障并到达故障现场，4小时内恢复业务。业务中断四个小时内线路恢复百分比为95%。</w:t>
      </w:r>
    </w:p>
    <w:p>
      <w:pPr>
        <w:pStyle w:val="2"/>
        <w:spacing w:line="460" w:lineRule="exact"/>
        <w:ind w:left="0" w:leftChars="0" w:firstLine="471" w:firstLineChars="196"/>
        <w:outlineLvl w:val="0"/>
        <w:rPr>
          <w:rFonts w:ascii="宋体" w:hAnsi="宋体" w:cs="宋体"/>
          <w:b/>
          <w:bCs/>
          <w:color w:val="auto"/>
          <w:sz w:val="24"/>
        </w:rPr>
      </w:pPr>
      <w:r>
        <w:rPr>
          <w:rFonts w:hint="eastAsia" w:ascii="宋体" w:hAnsi="宋体" w:cs="宋体"/>
          <w:b/>
          <w:bCs/>
          <w:color w:val="auto"/>
          <w:sz w:val="24"/>
        </w:rPr>
        <w:t>1.3线路通道带宽测试要求</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使用测试仪表对光纤通道进行测试,测试结果达到标称值为达标水平。</w:t>
      </w:r>
    </w:p>
    <w:p>
      <w:pPr>
        <w:pStyle w:val="2"/>
        <w:spacing w:line="460" w:lineRule="exact"/>
        <w:ind w:left="0" w:leftChars="0" w:firstLine="471" w:firstLineChars="196"/>
        <w:outlineLvl w:val="0"/>
        <w:rPr>
          <w:rFonts w:ascii="宋体" w:hAnsi="宋体" w:cs="宋体"/>
          <w:b/>
          <w:bCs/>
          <w:color w:val="auto"/>
          <w:sz w:val="24"/>
        </w:rPr>
      </w:pPr>
      <w:r>
        <w:rPr>
          <w:rFonts w:hint="eastAsia" w:ascii="宋体" w:hAnsi="宋体" w:cs="宋体"/>
          <w:b/>
          <w:bCs/>
          <w:color w:val="auto"/>
          <w:sz w:val="24"/>
        </w:rPr>
        <w:t>1.4线路业务开通要求</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业务开通是指采购人、投标人双方商定的接口点外侧间的业务全程测通，并以最晚一端开通为准。投标人负责协助采购人用户端网络设备的调测。</w:t>
      </w:r>
    </w:p>
    <w:p>
      <w:pPr>
        <w:pStyle w:val="2"/>
        <w:spacing w:line="460" w:lineRule="exact"/>
        <w:ind w:left="0" w:leftChars="0" w:firstLine="471" w:firstLineChars="196"/>
        <w:outlineLvl w:val="0"/>
        <w:rPr>
          <w:rFonts w:ascii="宋体" w:hAnsi="宋体" w:cs="宋体"/>
          <w:b/>
          <w:bCs/>
          <w:color w:val="auto"/>
          <w:sz w:val="24"/>
        </w:rPr>
      </w:pPr>
      <w:r>
        <w:rPr>
          <w:rFonts w:hint="eastAsia" w:ascii="宋体" w:hAnsi="宋体" w:cs="宋体"/>
          <w:b/>
          <w:bCs/>
          <w:color w:val="auto"/>
          <w:sz w:val="24"/>
        </w:rPr>
        <w:t>1.5线路服务模式</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7×24小时不间断服务。一是提供7×24小时的网络监控、维护和服务，保障用户网络的安全运行；二是提供7×24小时客户响应电话；三是投标人为采购人提供线路运行服务月度、年度报告。</w:t>
      </w:r>
    </w:p>
    <w:p>
      <w:pPr>
        <w:pStyle w:val="2"/>
        <w:spacing w:line="460" w:lineRule="exact"/>
        <w:ind w:left="0" w:leftChars="0" w:firstLine="471" w:firstLineChars="196"/>
        <w:outlineLvl w:val="0"/>
        <w:rPr>
          <w:rFonts w:ascii="宋体" w:hAnsi="宋体" w:cs="宋体"/>
          <w:b/>
          <w:bCs/>
          <w:color w:val="auto"/>
          <w:sz w:val="24"/>
        </w:rPr>
      </w:pPr>
      <w:r>
        <w:rPr>
          <w:rFonts w:hint="eastAsia" w:ascii="宋体" w:hAnsi="宋体" w:cs="宋体"/>
          <w:b/>
          <w:bCs/>
          <w:color w:val="auto"/>
          <w:sz w:val="24"/>
        </w:rPr>
        <w:t>1.6线路服务维护人员要求</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一是投标人为采购人配备专门客户工程师（提供专门客户工程师名单），作为与采购人沟通的最直接途径，对采购人提供技术业务咨询服务，在采购人出现特大故障时，客户工程师可以用最快的速度调度好资源，最快地修复障碍；二是配置一名客户经理，统一故障申告渠道。</w:t>
      </w:r>
    </w:p>
    <w:p>
      <w:pPr>
        <w:pStyle w:val="2"/>
        <w:spacing w:line="460" w:lineRule="exact"/>
        <w:ind w:left="0" w:leftChars="0" w:firstLine="471" w:firstLineChars="196"/>
        <w:outlineLvl w:val="0"/>
        <w:rPr>
          <w:rFonts w:ascii="宋体" w:hAnsi="宋体" w:cs="宋体"/>
          <w:b/>
          <w:bCs/>
          <w:color w:val="auto"/>
          <w:sz w:val="24"/>
        </w:rPr>
      </w:pPr>
      <w:r>
        <w:rPr>
          <w:rFonts w:hint="eastAsia" w:ascii="宋体" w:hAnsi="宋体" w:cs="宋体"/>
          <w:b/>
          <w:bCs/>
          <w:color w:val="auto"/>
          <w:sz w:val="24"/>
        </w:rPr>
        <w:t>1.7物联网卡需求</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提供48张物联网卡用于集群通信手持机，每张卡每个月流量为4个G，超过费用另外计费，每张卡每个月费用不超过300元。</w:t>
      </w:r>
    </w:p>
    <w:p>
      <w:pPr>
        <w:spacing w:line="460" w:lineRule="exact"/>
        <w:ind w:firstLine="480" w:firstLineChars="200"/>
        <w:jc w:val="left"/>
        <w:rPr>
          <w:rFonts w:ascii="宋体" w:hAnsi="宋体" w:cs="宋体"/>
          <w:color w:val="auto"/>
          <w:sz w:val="24"/>
          <w:szCs w:val="24"/>
        </w:rPr>
      </w:pPr>
      <w:r>
        <w:rPr>
          <w:rFonts w:hint="eastAsia" w:ascii="宋体" w:hAnsi="宋体" w:cs="宋体"/>
          <w:color w:val="auto"/>
          <w:kern w:val="0"/>
          <w:sz w:val="24"/>
          <w:szCs w:val="24"/>
        </w:rPr>
        <w:t>■</w:t>
      </w:r>
      <w:r>
        <w:rPr>
          <w:rFonts w:hint="eastAsia" w:ascii="宋体" w:hAnsi="宋体" w:cs="宋体"/>
          <w:color w:val="auto"/>
          <w:sz w:val="24"/>
          <w:szCs w:val="24"/>
        </w:rPr>
        <w:t>商务要求</w:t>
      </w:r>
    </w:p>
    <w:p>
      <w:pPr>
        <w:pStyle w:val="2"/>
        <w:spacing w:line="460" w:lineRule="exact"/>
        <w:ind w:left="0" w:leftChars="0" w:firstLine="471" w:firstLineChars="196"/>
        <w:outlineLvl w:val="0"/>
        <w:rPr>
          <w:rFonts w:ascii="宋体" w:hAnsi="宋体" w:cs="宋体"/>
          <w:b/>
          <w:bCs/>
          <w:color w:val="auto"/>
          <w:sz w:val="24"/>
        </w:rPr>
      </w:pPr>
      <w:r>
        <w:rPr>
          <w:rFonts w:hint="eastAsia" w:ascii="宋体" w:hAnsi="宋体" w:cs="宋体"/>
          <w:b/>
          <w:bCs/>
          <w:color w:val="auto"/>
          <w:sz w:val="24"/>
        </w:rPr>
        <w:t>2.1采购项目服务响应时间</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服务期限于签订合同之日起至2024年12月31日止完成服务。</w:t>
      </w:r>
    </w:p>
    <w:p>
      <w:pPr>
        <w:pStyle w:val="2"/>
        <w:spacing w:line="460" w:lineRule="exact"/>
        <w:ind w:left="0" w:leftChars="0" w:firstLine="471" w:firstLineChars="196"/>
        <w:outlineLvl w:val="0"/>
        <w:rPr>
          <w:rFonts w:ascii="宋体" w:hAnsi="宋体" w:cs="宋体"/>
          <w:b/>
          <w:bCs/>
          <w:color w:val="auto"/>
          <w:sz w:val="24"/>
        </w:rPr>
      </w:pPr>
      <w:r>
        <w:rPr>
          <w:rFonts w:hint="eastAsia" w:ascii="宋体" w:hAnsi="宋体" w:cs="宋体"/>
          <w:b/>
          <w:bCs/>
          <w:color w:val="auto"/>
          <w:sz w:val="24"/>
        </w:rPr>
        <w:t>2.2采购项目服务其他要求</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投标人需符合以下条件：</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1.经营范围必须有移动通信、IP电话及互联网接入服务等同类电信业务；</w:t>
      </w:r>
    </w:p>
    <w:p>
      <w:pPr>
        <w:pStyle w:val="2"/>
        <w:spacing w:line="460" w:lineRule="exact"/>
        <w:ind w:left="0" w:leftChars="0" w:firstLine="480"/>
        <w:outlineLvl w:val="0"/>
        <w:rPr>
          <w:rFonts w:ascii="宋体" w:hAnsi="宋体" w:cs="宋体"/>
          <w:color w:val="auto"/>
          <w:sz w:val="24"/>
        </w:rPr>
      </w:pPr>
      <w:r>
        <w:rPr>
          <w:rFonts w:hint="eastAsia" w:ascii="宋体" w:hAnsi="宋体" w:cs="宋体"/>
          <w:color w:val="auto"/>
          <w:sz w:val="24"/>
        </w:rPr>
        <w:t>2.具备《基础电信业务经营许可证》；</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3.在海南省各市县均具备分公司服务团队，线缆员不少于12人且具有光缆线务员证书。</w:t>
      </w:r>
    </w:p>
    <w:p>
      <w:pPr>
        <w:bidi w:val="0"/>
        <w:rPr>
          <w:rFonts w:hint="eastAsia"/>
          <w:color w:val="auto"/>
        </w:rPr>
      </w:pPr>
    </w:p>
    <w:p>
      <w:pPr>
        <w:spacing w:line="460" w:lineRule="exact"/>
        <w:ind w:firstLine="880" w:firstLineChars="200"/>
        <w:jc w:val="center"/>
        <w:outlineLvl w:val="0"/>
        <w:rPr>
          <w:rFonts w:ascii="宋体" w:hAnsi="宋体" w:cs="宋体"/>
          <w:b/>
          <w:color w:val="auto"/>
          <w:sz w:val="44"/>
          <w:szCs w:val="44"/>
        </w:rPr>
      </w:pPr>
      <w:r>
        <w:rPr>
          <w:rFonts w:hint="eastAsia" w:ascii="宋体" w:hAnsi="宋体" w:cs="宋体"/>
          <w:b/>
          <w:color w:val="auto"/>
          <w:sz w:val="44"/>
          <w:szCs w:val="44"/>
        </w:rPr>
        <w:t>B包</w:t>
      </w:r>
    </w:p>
    <w:p>
      <w:pPr>
        <w:spacing w:line="460" w:lineRule="exact"/>
        <w:ind w:firstLine="480" w:firstLineChars="200"/>
        <w:jc w:val="left"/>
        <w:rPr>
          <w:rFonts w:ascii="宋体" w:hAnsi="宋体" w:cs="宋体"/>
          <w:color w:val="auto"/>
          <w:sz w:val="24"/>
          <w:szCs w:val="24"/>
        </w:rPr>
      </w:pPr>
      <w:r>
        <w:rPr>
          <w:rFonts w:hint="eastAsia" w:ascii="宋体" w:hAnsi="宋体" w:cs="宋体"/>
          <w:color w:val="auto"/>
          <w:kern w:val="0"/>
          <w:sz w:val="24"/>
          <w:szCs w:val="24"/>
        </w:rPr>
        <w:t>■</w:t>
      </w:r>
      <w:r>
        <w:rPr>
          <w:rFonts w:hint="eastAsia" w:ascii="宋体" w:hAnsi="宋体" w:cs="宋体"/>
          <w:color w:val="auto"/>
          <w:sz w:val="24"/>
          <w:szCs w:val="24"/>
        </w:rPr>
        <w:t>技术要求</w:t>
      </w:r>
    </w:p>
    <w:p>
      <w:pPr>
        <w:pStyle w:val="2"/>
        <w:spacing w:line="460" w:lineRule="exact"/>
        <w:ind w:left="0" w:leftChars="0" w:firstLine="480"/>
        <w:rPr>
          <w:rFonts w:ascii="宋体" w:hAnsi="宋体" w:cs="宋体"/>
          <w:bCs/>
          <w:color w:val="auto"/>
          <w:sz w:val="24"/>
        </w:rPr>
      </w:pPr>
      <w:r>
        <w:rPr>
          <w:rFonts w:hint="eastAsia" w:ascii="宋体" w:hAnsi="宋体" w:cs="宋体"/>
          <w:bCs/>
          <w:color w:val="auto"/>
          <w:sz w:val="24"/>
        </w:rPr>
        <w:t>本分包网络租赁服务内容包含12条线路，详见下表。</w:t>
      </w:r>
    </w:p>
    <w:tbl>
      <w:tblPr>
        <w:tblStyle w:val="7"/>
        <w:tblW w:w="5000" w:type="pct"/>
        <w:jc w:val="center"/>
        <w:tblLayout w:type="autofit"/>
        <w:tblCellMar>
          <w:top w:w="0" w:type="dxa"/>
          <w:left w:w="108" w:type="dxa"/>
          <w:bottom w:w="0" w:type="dxa"/>
          <w:right w:w="108" w:type="dxa"/>
        </w:tblCellMar>
      </w:tblPr>
      <w:tblGrid>
        <w:gridCol w:w="840"/>
        <w:gridCol w:w="2749"/>
        <w:gridCol w:w="3741"/>
        <w:gridCol w:w="1192"/>
      </w:tblGrid>
      <w:tr>
        <w:tblPrEx>
          <w:tblCellMar>
            <w:top w:w="0" w:type="dxa"/>
            <w:left w:w="108" w:type="dxa"/>
            <w:bottom w:w="0" w:type="dxa"/>
            <w:right w:w="108" w:type="dxa"/>
          </w:tblCellMar>
        </w:tblPrEx>
        <w:trPr>
          <w:trHeight w:val="567" w:hRule="atLeast"/>
          <w:jc w:val="center"/>
        </w:trPr>
        <w:tc>
          <w:tcPr>
            <w:tcW w:w="49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460" w:lineRule="exact"/>
              <w:jc w:val="center"/>
              <w:rPr>
                <w:rFonts w:ascii="宋体" w:hAnsi="宋体" w:cs="宋体"/>
                <w:b/>
                <w:color w:val="auto"/>
                <w:sz w:val="24"/>
                <w:szCs w:val="24"/>
              </w:rPr>
            </w:pPr>
            <w:r>
              <w:rPr>
                <w:rFonts w:hint="eastAsia" w:ascii="宋体" w:hAnsi="宋体" w:cs="宋体"/>
                <w:b/>
                <w:color w:val="auto"/>
                <w:sz w:val="24"/>
                <w:szCs w:val="24"/>
              </w:rPr>
              <w:t>序号</w:t>
            </w:r>
          </w:p>
        </w:tc>
        <w:tc>
          <w:tcPr>
            <w:tcW w:w="161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460" w:lineRule="exact"/>
              <w:jc w:val="center"/>
              <w:rPr>
                <w:rFonts w:ascii="宋体" w:hAnsi="宋体" w:cs="宋体"/>
                <w:b/>
                <w:color w:val="auto"/>
                <w:sz w:val="24"/>
                <w:szCs w:val="24"/>
              </w:rPr>
            </w:pPr>
            <w:r>
              <w:rPr>
                <w:rFonts w:hint="eastAsia" w:ascii="宋体" w:hAnsi="宋体" w:cs="宋体"/>
                <w:b/>
                <w:color w:val="auto"/>
                <w:sz w:val="24"/>
                <w:szCs w:val="24"/>
              </w:rPr>
              <w:t>A端名称</w:t>
            </w:r>
          </w:p>
        </w:tc>
        <w:tc>
          <w:tcPr>
            <w:tcW w:w="2195"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460" w:lineRule="exact"/>
              <w:jc w:val="center"/>
              <w:rPr>
                <w:rFonts w:ascii="宋体" w:hAnsi="宋体" w:cs="宋体"/>
                <w:b/>
                <w:color w:val="auto"/>
                <w:sz w:val="24"/>
                <w:szCs w:val="24"/>
              </w:rPr>
            </w:pPr>
            <w:r>
              <w:rPr>
                <w:rFonts w:hint="eastAsia" w:ascii="宋体" w:hAnsi="宋体" w:cs="宋体"/>
                <w:b/>
                <w:color w:val="auto"/>
                <w:sz w:val="24"/>
                <w:szCs w:val="24"/>
              </w:rPr>
              <w:t>B端名称</w:t>
            </w:r>
          </w:p>
        </w:tc>
        <w:tc>
          <w:tcPr>
            <w:tcW w:w="699"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460" w:lineRule="exact"/>
              <w:jc w:val="center"/>
              <w:rPr>
                <w:rFonts w:ascii="宋体" w:hAnsi="宋体" w:cs="宋体"/>
                <w:b/>
                <w:color w:val="auto"/>
                <w:sz w:val="24"/>
                <w:szCs w:val="24"/>
              </w:rPr>
            </w:pPr>
            <w:r>
              <w:rPr>
                <w:rFonts w:hint="eastAsia" w:ascii="宋体" w:hAnsi="宋体" w:cs="宋体"/>
                <w:b/>
                <w:color w:val="auto"/>
                <w:sz w:val="24"/>
                <w:szCs w:val="24"/>
              </w:rPr>
              <w:t>带宽</w:t>
            </w:r>
          </w:p>
        </w:tc>
      </w:tr>
      <w:tr>
        <w:tblPrEx>
          <w:tblCellMar>
            <w:top w:w="0" w:type="dxa"/>
            <w:left w:w="108" w:type="dxa"/>
            <w:bottom w:w="0" w:type="dxa"/>
            <w:right w:w="108" w:type="dxa"/>
          </w:tblCellMar>
        </w:tblPrEx>
        <w:trPr>
          <w:trHeight w:val="402" w:hRule="atLeast"/>
          <w:jc w:val="center"/>
        </w:trPr>
        <w:tc>
          <w:tcPr>
            <w:tcW w:w="493" w:type="pct"/>
            <w:tcBorders>
              <w:top w:val="single" w:color="auto" w:sz="4" w:space="0"/>
              <w:left w:val="single" w:color="000000" w:sz="8" w:space="0"/>
              <w:bottom w:val="single" w:color="000000" w:sz="8"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w:t>
            </w:r>
          </w:p>
        </w:tc>
        <w:tc>
          <w:tcPr>
            <w:tcW w:w="1613" w:type="pct"/>
            <w:vMerge w:val="restart"/>
            <w:tcBorders>
              <w:top w:val="single" w:color="auto" w:sz="4" w:space="0"/>
              <w:left w:val="nil"/>
              <w:right w:val="single" w:color="000000" w:sz="8"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海南省交通运输路网监测和应急指挥保障中心</w:t>
            </w:r>
          </w:p>
        </w:tc>
        <w:tc>
          <w:tcPr>
            <w:tcW w:w="2195" w:type="pct"/>
            <w:tcBorders>
              <w:top w:val="single" w:color="auto" w:sz="4" w:space="0"/>
              <w:left w:val="nil"/>
              <w:bottom w:val="single" w:color="000000" w:sz="8"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港航管理局马村航道所</w:t>
            </w:r>
          </w:p>
        </w:tc>
        <w:tc>
          <w:tcPr>
            <w:tcW w:w="699" w:type="pct"/>
            <w:tcBorders>
              <w:top w:val="single" w:color="auto" w:sz="4" w:space="0"/>
              <w:left w:val="nil"/>
              <w:bottom w:val="single" w:color="000000" w:sz="8"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CellMar>
            <w:top w:w="0" w:type="dxa"/>
            <w:left w:w="108" w:type="dxa"/>
            <w:bottom w:w="0" w:type="dxa"/>
            <w:right w:w="108" w:type="dxa"/>
          </w:tblCellMar>
        </w:tblPrEx>
        <w:trPr>
          <w:trHeight w:val="452" w:hRule="atLeast"/>
          <w:jc w:val="center"/>
        </w:trPr>
        <w:tc>
          <w:tcPr>
            <w:tcW w:w="493" w:type="pct"/>
            <w:tcBorders>
              <w:top w:val="nil"/>
              <w:left w:val="single" w:color="000000" w:sz="8" w:space="0"/>
              <w:bottom w:val="single" w:color="000000" w:sz="8"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w:t>
            </w:r>
          </w:p>
        </w:tc>
        <w:tc>
          <w:tcPr>
            <w:tcW w:w="1613" w:type="pct"/>
            <w:vMerge w:val="continue"/>
            <w:tcBorders>
              <w:left w:val="nil"/>
              <w:right w:val="single" w:color="000000" w:sz="8" w:space="0"/>
            </w:tcBorders>
            <w:shd w:val="clear" w:color="000000" w:fill="FFFFFF"/>
            <w:vAlign w:val="center"/>
          </w:tcPr>
          <w:p>
            <w:pPr>
              <w:spacing w:line="460" w:lineRule="exact"/>
              <w:jc w:val="center"/>
              <w:rPr>
                <w:rFonts w:ascii="宋体" w:hAnsi="宋体" w:cs="宋体"/>
                <w:color w:val="auto"/>
                <w:sz w:val="24"/>
                <w:szCs w:val="24"/>
              </w:rPr>
            </w:pPr>
          </w:p>
        </w:tc>
        <w:tc>
          <w:tcPr>
            <w:tcW w:w="2195" w:type="pct"/>
            <w:tcBorders>
              <w:top w:val="nil"/>
              <w:left w:val="nil"/>
              <w:bottom w:val="nil"/>
              <w:right w:val="single" w:color="000000" w:sz="8"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港航管理局东方航道所</w:t>
            </w:r>
          </w:p>
        </w:tc>
        <w:tc>
          <w:tcPr>
            <w:tcW w:w="699" w:type="pct"/>
            <w:tcBorders>
              <w:top w:val="nil"/>
              <w:left w:val="nil"/>
              <w:bottom w:val="nil"/>
              <w:right w:val="single" w:color="000000" w:sz="8"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4M</w:t>
            </w:r>
          </w:p>
        </w:tc>
      </w:tr>
      <w:tr>
        <w:tblPrEx>
          <w:tblCellMar>
            <w:top w:w="0" w:type="dxa"/>
            <w:left w:w="108" w:type="dxa"/>
            <w:bottom w:w="0" w:type="dxa"/>
            <w:right w:w="108" w:type="dxa"/>
          </w:tblCellMar>
        </w:tblPrEx>
        <w:trPr>
          <w:trHeight w:val="411" w:hRule="atLeast"/>
          <w:jc w:val="center"/>
        </w:trPr>
        <w:tc>
          <w:tcPr>
            <w:tcW w:w="493" w:type="pct"/>
            <w:tcBorders>
              <w:top w:val="nil"/>
              <w:left w:val="single" w:color="000000" w:sz="8" w:space="0"/>
              <w:bottom w:val="single" w:color="000000" w:sz="8"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3</w:t>
            </w:r>
          </w:p>
        </w:tc>
        <w:tc>
          <w:tcPr>
            <w:tcW w:w="1613" w:type="pct"/>
            <w:vMerge w:val="continue"/>
            <w:tcBorders>
              <w:left w:val="single" w:color="auto" w:sz="4"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p>
        </w:tc>
        <w:tc>
          <w:tcPr>
            <w:tcW w:w="2195" w:type="pct"/>
            <w:tcBorders>
              <w:top w:val="single" w:color="auto" w:sz="4" w:space="0"/>
              <w:left w:val="single" w:color="000000" w:sz="8"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老城治超站</w:t>
            </w:r>
          </w:p>
        </w:tc>
        <w:tc>
          <w:tcPr>
            <w:tcW w:w="699" w:type="pct"/>
            <w:tcBorders>
              <w:top w:val="single" w:color="auto" w:sz="4" w:space="0"/>
              <w:left w:val="nil"/>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500M</w:t>
            </w:r>
          </w:p>
        </w:tc>
      </w:tr>
      <w:tr>
        <w:tblPrEx>
          <w:tblCellMar>
            <w:top w:w="0" w:type="dxa"/>
            <w:left w:w="108" w:type="dxa"/>
            <w:bottom w:w="0" w:type="dxa"/>
            <w:right w:w="108" w:type="dxa"/>
          </w:tblCellMar>
        </w:tblPrEx>
        <w:trPr>
          <w:trHeight w:val="497" w:hRule="atLeast"/>
          <w:jc w:val="center"/>
        </w:trPr>
        <w:tc>
          <w:tcPr>
            <w:tcW w:w="493" w:type="pct"/>
            <w:tcBorders>
              <w:top w:val="nil"/>
              <w:left w:val="single" w:color="000000" w:sz="8" w:space="0"/>
              <w:bottom w:val="single" w:color="000000" w:sz="8"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4</w:t>
            </w:r>
          </w:p>
        </w:tc>
        <w:tc>
          <w:tcPr>
            <w:tcW w:w="1613" w:type="pct"/>
            <w:vMerge w:val="continue"/>
            <w:tcBorders>
              <w:left w:val="single" w:color="auto" w:sz="4"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p>
        </w:tc>
        <w:tc>
          <w:tcPr>
            <w:tcW w:w="2195" w:type="pct"/>
            <w:tcBorders>
              <w:top w:val="nil"/>
              <w:left w:val="single" w:color="000000" w:sz="8"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省大数据局</w:t>
            </w:r>
          </w:p>
        </w:tc>
        <w:tc>
          <w:tcPr>
            <w:tcW w:w="699" w:type="pct"/>
            <w:tcBorders>
              <w:top w:val="nil"/>
              <w:left w:val="nil"/>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100M</w:t>
            </w:r>
          </w:p>
        </w:tc>
      </w:tr>
      <w:tr>
        <w:tblPrEx>
          <w:tblCellMar>
            <w:top w:w="0" w:type="dxa"/>
            <w:left w:w="108" w:type="dxa"/>
            <w:bottom w:w="0" w:type="dxa"/>
            <w:right w:w="108" w:type="dxa"/>
          </w:tblCellMar>
        </w:tblPrEx>
        <w:trPr>
          <w:trHeight w:val="497" w:hRule="atLeast"/>
          <w:jc w:val="center"/>
        </w:trPr>
        <w:tc>
          <w:tcPr>
            <w:tcW w:w="493" w:type="pct"/>
            <w:tcBorders>
              <w:top w:val="nil"/>
              <w:left w:val="single" w:color="000000" w:sz="8" w:space="0"/>
              <w:bottom w:val="single" w:color="000000" w:sz="8"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5</w:t>
            </w:r>
          </w:p>
        </w:tc>
        <w:tc>
          <w:tcPr>
            <w:tcW w:w="1613" w:type="pct"/>
            <w:vMerge w:val="continue"/>
            <w:tcBorders>
              <w:left w:val="single" w:color="auto" w:sz="4"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p>
        </w:tc>
        <w:tc>
          <w:tcPr>
            <w:tcW w:w="2195" w:type="pct"/>
            <w:tcBorders>
              <w:top w:val="nil"/>
              <w:left w:val="single" w:color="000000" w:sz="8"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海文高速</w:t>
            </w:r>
          </w:p>
        </w:tc>
        <w:tc>
          <w:tcPr>
            <w:tcW w:w="699" w:type="pct"/>
            <w:tcBorders>
              <w:top w:val="nil"/>
              <w:left w:val="nil"/>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20M</w:t>
            </w:r>
          </w:p>
        </w:tc>
      </w:tr>
      <w:tr>
        <w:tblPrEx>
          <w:tblCellMar>
            <w:top w:w="0" w:type="dxa"/>
            <w:left w:w="108" w:type="dxa"/>
            <w:bottom w:w="0" w:type="dxa"/>
            <w:right w:w="108" w:type="dxa"/>
          </w:tblCellMar>
        </w:tblPrEx>
        <w:trPr>
          <w:trHeight w:val="482" w:hRule="atLeast"/>
          <w:jc w:val="center"/>
        </w:trPr>
        <w:tc>
          <w:tcPr>
            <w:tcW w:w="493" w:type="pct"/>
            <w:tcBorders>
              <w:top w:val="nil"/>
              <w:left w:val="single" w:color="000000" w:sz="8" w:space="0"/>
              <w:bottom w:val="single" w:color="000000" w:sz="8" w:space="0"/>
              <w:right w:val="single" w:color="000000" w:sz="8" w:space="0"/>
            </w:tcBorders>
            <w:shd w:val="clear" w:color="000000"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6</w:t>
            </w:r>
          </w:p>
        </w:tc>
        <w:tc>
          <w:tcPr>
            <w:tcW w:w="1613" w:type="pct"/>
            <w:vMerge w:val="continue"/>
            <w:tcBorders>
              <w:left w:val="single" w:color="auto" w:sz="4"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p>
        </w:tc>
        <w:tc>
          <w:tcPr>
            <w:tcW w:w="2195" w:type="pct"/>
            <w:tcBorders>
              <w:top w:val="nil"/>
              <w:left w:val="single" w:color="000000" w:sz="8"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海汽集团</w:t>
            </w:r>
          </w:p>
        </w:tc>
        <w:tc>
          <w:tcPr>
            <w:tcW w:w="699" w:type="pct"/>
            <w:tcBorders>
              <w:top w:val="nil"/>
              <w:left w:val="nil"/>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20M</w:t>
            </w:r>
          </w:p>
        </w:tc>
      </w:tr>
      <w:tr>
        <w:tblPrEx>
          <w:tblCellMar>
            <w:top w:w="0" w:type="dxa"/>
            <w:left w:w="108" w:type="dxa"/>
            <w:bottom w:w="0" w:type="dxa"/>
            <w:right w:w="108" w:type="dxa"/>
          </w:tblCellMar>
        </w:tblPrEx>
        <w:trPr>
          <w:trHeight w:val="467" w:hRule="atLeast"/>
          <w:jc w:val="center"/>
        </w:trPr>
        <w:tc>
          <w:tcPr>
            <w:tcW w:w="493" w:type="pct"/>
            <w:tcBorders>
              <w:top w:val="nil"/>
              <w:left w:val="single" w:color="000000" w:sz="8" w:space="0"/>
              <w:bottom w:val="single" w:color="auto" w:sz="4" w:space="0"/>
              <w:right w:val="single" w:color="000000" w:sz="8" w:space="0"/>
            </w:tcBorders>
            <w:shd w:val="clear" w:color="000000"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7</w:t>
            </w:r>
          </w:p>
        </w:tc>
        <w:tc>
          <w:tcPr>
            <w:tcW w:w="1613" w:type="pct"/>
            <w:vMerge w:val="continue"/>
            <w:tcBorders>
              <w:left w:val="single" w:color="auto" w:sz="4"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p>
        </w:tc>
        <w:tc>
          <w:tcPr>
            <w:tcW w:w="2195" w:type="pct"/>
            <w:tcBorders>
              <w:top w:val="nil"/>
              <w:left w:val="single" w:color="000000" w:sz="8"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海南港航控股公司</w:t>
            </w:r>
          </w:p>
        </w:tc>
        <w:tc>
          <w:tcPr>
            <w:tcW w:w="699" w:type="pct"/>
            <w:tcBorders>
              <w:top w:val="nil"/>
              <w:left w:val="nil"/>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20M</w:t>
            </w:r>
          </w:p>
        </w:tc>
      </w:tr>
      <w:tr>
        <w:tblPrEx>
          <w:tblCellMar>
            <w:top w:w="0" w:type="dxa"/>
            <w:left w:w="108" w:type="dxa"/>
            <w:bottom w:w="0" w:type="dxa"/>
            <w:right w:w="108" w:type="dxa"/>
          </w:tblCellMar>
        </w:tblPrEx>
        <w:trPr>
          <w:trHeight w:val="472" w:hRule="atLeast"/>
          <w:jc w:val="center"/>
        </w:trPr>
        <w:tc>
          <w:tcPr>
            <w:tcW w:w="49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8</w:t>
            </w:r>
          </w:p>
        </w:tc>
        <w:tc>
          <w:tcPr>
            <w:tcW w:w="1613" w:type="pct"/>
            <w:vMerge w:val="continue"/>
            <w:tcBorders>
              <w:left w:val="single" w:color="auto" w:sz="4"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p>
        </w:tc>
        <w:tc>
          <w:tcPr>
            <w:tcW w:w="2195" w:type="pct"/>
            <w:tcBorders>
              <w:top w:val="single" w:color="auto" w:sz="4" w:space="0"/>
              <w:left w:val="single" w:color="000000" w:sz="8"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海峡办</w:t>
            </w:r>
          </w:p>
        </w:tc>
        <w:tc>
          <w:tcPr>
            <w:tcW w:w="699"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20M</w:t>
            </w:r>
          </w:p>
        </w:tc>
      </w:tr>
      <w:tr>
        <w:tblPrEx>
          <w:tblCellMar>
            <w:top w:w="0" w:type="dxa"/>
            <w:left w:w="108" w:type="dxa"/>
            <w:bottom w:w="0" w:type="dxa"/>
            <w:right w:w="108" w:type="dxa"/>
          </w:tblCellMar>
        </w:tblPrEx>
        <w:trPr>
          <w:trHeight w:val="567" w:hRule="atLeast"/>
          <w:jc w:val="center"/>
        </w:trPr>
        <w:tc>
          <w:tcPr>
            <w:tcW w:w="49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9</w:t>
            </w:r>
          </w:p>
        </w:tc>
        <w:tc>
          <w:tcPr>
            <w:tcW w:w="1613" w:type="pct"/>
            <w:vMerge w:val="continue"/>
            <w:tcBorders>
              <w:left w:val="single" w:color="auto" w:sz="4"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p>
        </w:tc>
        <w:tc>
          <w:tcPr>
            <w:tcW w:w="2195" w:type="pct"/>
            <w:tcBorders>
              <w:top w:val="single" w:color="auto" w:sz="4" w:space="0"/>
              <w:left w:val="single" w:color="000000" w:sz="8"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中线高速</w:t>
            </w:r>
          </w:p>
        </w:tc>
        <w:tc>
          <w:tcPr>
            <w:tcW w:w="699"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500M</w:t>
            </w:r>
          </w:p>
        </w:tc>
      </w:tr>
      <w:tr>
        <w:tblPrEx>
          <w:tblCellMar>
            <w:top w:w="0" w:type="dxa"/>
            <w:left w:w="108" w:type="dxa"/>
            <w:bottom w:w="0" w:type="dxa"/>
            <w:right w:w="108" w:type="dxa"/>
          </w:tblCellMar>
        </w:tblPrEx>
        <w:trPr>
          <w:trHeight w:val="567" w:hRule="atLeast"/>
          <w:jc w:val="center"/>
        </w:trPr>
        <w:tc>
          <w:tcPr>
            <w:tcW w:w="49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10</w:t>
            </w:r>
          </w:p>
        </w:tc>
        <w:tc>
          <w:tcPr>
            <w:tcW w:w="1613" w:type="pct"/>
            <w:vMerge w:val="continue"/>
            <w:tcBorders>
              <w:left w:val="single" w:color="auto" w:sz="4"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p>
        </w:tc>
        <w:tc>
          <w:tcPr>
            <w:tcW w:w="2195" w:type="pct"/>
            <w:tcBorders>
              <w:top w:val="single" w:color="auto" w:sz="4" w:space="0"/>
              <w:left w:val="single" w:color="000000" w:sz="8"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大茅隧道</w:t>
            </w:r>
          </w:p>
        </w:tc>
        <w:tc>
          <w:tcPr>
            <w:tcW w:w="699"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500M</w:t>
            </w:r>
          </w:p>
        </w:tc>
      </w:tr>
      <w:tr>
        <w:tblPrEx>
          <w:tblCellMar>
            <w:top w:w="0" w:type="dxa"/>
            <w:left w:w="108" w:type="dxa"/>
            <w:bottom w:w="0" w:type="dxa"/>
            <w:right w:w="108" w:type="dxa"/>
          </w:tblCellMar>
        </w:tblPrEx>
        <w:trPr>
          <w:trHeight w:val="582" w:hRule="atLeast"/>
          <w:jc w:val="center"/>
        </w:trPr>
        <w:tc>
          <w:tcPr>
            <w:tcW w:w="49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1</w:t>
            </w:r>
            <w:r>
              <w:rPr>
                <w:rFonts w:hint="eastAsia" w:ascii="宋体" w:hAnsi="宋体" w:cs="宋体"/>
                <w:color w:val="auto"/>
                <w:sz w:val="24"/>
                <w:szCs w:val="24"/>
              </w:rPr>
              <w:t>1</w:t>
            </w:r>
          </w:p>
        </w:tc>
        <w:tc>
          <w:tcPr>
            <w:tcW w:w="1613" w:type="pct"/>
            <w:vMerge w:val="continue"/>
            <w:tcBorders>
              <w:left w:val="single" w:color="auto" w:sz="4"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p>
        </w:tc>
        <w:tc>
          <w:tcPr>
            <w:tcW w:w="2195" w:type="pct"/>
            <w:tcBorders>
              <w:top w:val="single" w:color="auto" w:sz="4" w:space="0"/>
              <w:left w:val="single" w:color="000000" w:sz="8"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中石油</w:t>
            </w:r>
          </w:p>
        </w:tc>
        <w:tc>
          <w:tcPr>
            <w:tcW w:w="699"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20M</w:t>
            </w:r>
          </w:p>
        </w:tc>
      </w:tr>
      <w:tr>
        <w:tblPrEx>
          <w:tblCellMar>
            <w:top w:w="0" w:type="dxa"/>
            <w:left w:w="108" w:type="dxa"/>
            <w:bottom w:w="0" w:type="dxa"/>
            <w:right w:w="108" w:type="dxa"/>
          </w:tblCellMar>
        </w:tblPrEx>
        <w:trPr>
          <w:trHeight w:val="548" w:hRule="atLeast"/>
          <w:jc w:val="center"/>
        </w:trPr>
        <w:tc>
          <w:tcPr>
            <w:tcW w:w="493"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1</w:t>
            </w:r>
            <w:r>
              <w:rPr>
                <w:rFonts w:hint="eastAsia" w:ascii="宋体" w:hAnsi="宋体" w:cs="宋体"/>
                <w:color w:val="auto"/>
                <w:sz w:val="24"/>
                <w:szCs w:val="24"/>
              </w:rPr>
              <w:t>2</w:t>
            </w:r>
          </w:p>
        </w:tc>
        <w:tc>
          <w:tcPr>
            <w:tcW w:w="1613" w:type="pct"/>
            <w:vMerge w:val="continue"/>
            <w:tcBorders>
              <w:left w:val="single" w:color="auto" w:sz="4" w:space="0"/>
              <w:bottom w:val="single" w:color="auto" w:sz="4" w:space="0"/>
              <w:right w:val="single" w:color="000000" w:sz="8" w:space="0"/>
            </w:tcBorders>
            <w:shd w:val="clear" w:color="000000" w:fill="FFFFFF"/>
            <w:vAlign w:val="center"/>
          </w:tcPr>
          <w:p>
            <w:pPr>
              <w:spacing w:line="460" w:lineRule="exact"/>
              <w:jc w:val="center"/>
              <w:rPr>
                <w:rFonts w:ascii="宋体" w:hAnsi="宋体" w:cs="宋体"/>
                <w:color w:val="auto"/>
                <w:sz w:val="24"/>
                <w:szCs w:val="24"/>
              </w:rPr>
            </w:pPr>
          </w:p>
        </w:tc>
        <w:tc>
          <w:tcPr>
            <w:tcW w:w="2195" w:type="pct"/>
            <w:tcBorders>
              <w:top w:val="single" w:color="auto" w:sz="4" w:space="0"/>
              <w:left w:val="single" w:color="000000" w:sz="8"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rPr>
            </w:pPr>
            <w:r>
              <w:rPr>
                <w:rFonts w:hint="eastAsia" w:ascii="宋体" w:hAnsi="宋体" w:cs="宋体"/>
                <w:color w:val="auto"/>
                <w:sz w:val="24"/>
                <w:szCs w:val="24"/>
              </w:rPr>
              <w:t>中石化</w:t>
            </w:r>
          </w:p>
        </w:tc>
        <w:tc>
          <w:tcPr>
            <w:tcW w:w="699"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460" w:lineRule="exact"/>
              <w:jc w:val="center"/>
              <w:rPr>
                <w:rFonts w:ascii="宋体" w:hAnsi="宋体" w:cs="宋体"/>
                <w:color w:val="auto"/>
                <w:sz w:val="24"/>
                <w:szCs w:val="24"/>
                <w:lang w:val="en"/>
              </w:rPr>
            </w:pPr>
            <w:r>
              <w:rPr>
                <w:rFonts w:hint="eastAsia" w:ascii="宋体" w:hAnsi="宋体" w:cs="宋体"/>
                <w:color w:val="auto"/>
                <w:sz w:val="24"/>
                <w:szCs w:val="24"/>
                <w:lang w:val="en"/>
              </w:rPr>
              <w:t>20M</w:t>
            </w:r>
          </w:p>
        </w:tc>
      </w:tr>
    </w:tbl>
    <w:p>
      <w:pPr>
        <w:pStyle w:val="2"/>
        <w:spacing w:line="460" w:lineRule="exact"/>
        <w:ind w:left="0" w:leftChars="0" w:firstLine="480"/>
        <w:rPr>
          <w:rFonts w:ascii="宋体" w:hAnsi="宋体" w:cs="宋体"/>
          <w:color w:val="auto"/>
          <w:sz w:val="24"/>
        </w:rPr>
      </w:pPr>
      <w:r>
        <w:rPr>
          <w:rFonts w:hint="eastAsia" w:ascii="宋体" w:hAnsi="宋体" w:cs="宋体"/>
          <w:bCs/>
          <w:color w:val="auto"/>
          <w:sz w:val="24"/>
        </w:rPr>
        <w:t>投标人提供的线路需满足以下租赁服务要求：</w:t>
      </w:r>
    </w:p>
    <w:p>
      <w:pPr>
        <w:pStyle w:val="2"/>
        <w:spacing w:line="460" w:lineRule="exact"/>
        <w:ind w:left="0" w:leftChars="0" w:firstLine="471" w:firstLineChars="196"/>
        <w:rPr>
          <w:rFonts w:ascii="宋体" w:hAnsi="宋体" w:cs="宋体"/>
          <w:b/>
          <w:bCs/>
          <w:color w:val="auto"/>
          <w:sz w:val="24"/>
        </w:rPr>
      </w:pPr>
      <w:r>
        <w:rPr>
          <w:rFonts w:hint="eastAsia" w:ascii="宋体" w:hAnsi="宋体" w:cs="宋体"/>
          <w:b/>
          <w:bCs/>
          <w:color w:val="auto"/>
          <w:sz w:val="24"/>
        </w:rPr>
        <w:t>1.1线路质量要求</w:t>
      </w:r>
    </w:p>
    <w:p>
      <w:pPr>
        <w:pStyle w:val="2"/>
        <w:spacing w:line="460" w:lineRule="exact"/>
        <w:ind w:left="0" w:leftChars="0" w:firstLine="480"/>
        <w:outlineLvl w:val="0"/>
        <w:rPr>
          <w:rFonts w:ascii="宋体" w:hAnsi="宋体" w:cs="宋体"/>
          <w:color w:val="auto"/>
          <w:sz w:val="24"/>
        </w:rPr>
      </w:pPr>
      <w:r>
        <w:rPr>
          <w:rFonts w:hint="eastAsia" w:ascii="宋体" w:hAnsi="宋体" w:cs="宋体"/>
          <w:color w:val="auto"/>
          <w:sz w:val="24"/>
        </w:rPr>
        <w:t>1.线路通路可用率达到99.9%；</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2.线路验收指标为：比特率误码率小于10-7；</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3.互联网专线必须实现从用户端最多2跳出省。</w:t>
      </w:r>
    </w:p>
    <w:p>
      <w:pPr>
        <w:pStyle w:val="2"/>
        <w:spacing w:line="460" w:lineRule="exact"/>
        <w:ind w:left="0" w:leftChars="0" w:firstLine="471" w:firstLineChars="196"/>
        <w:outlineLvl w:val="0"/>
        <w:rPr>
          <w:rFonts w:ascii="宋体" w:hAnsi="宋体" w:cs="宋体"/>
          <w:b/>
          <w:bCs/>
          <w:color w:val="auto"/>
          <w:sz w:val="24"/>
        </w:rPr>
      </w:pPr>
      <w:r>
        <w:rPr>
          <w:rFonts w:hint="eastAsia" w:ascii="宋体" w:hAnsi="宋体" w:cs="宋体"/>
          <w:b/>
          <w:bCs/>
          <w:color w:val="auto"/>
          <w:sz w:val="24"/>
        </w:rPr>
        <w:t>1.2线路平均恢复时间要求</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恢复时间4小时。对于采购人网络线路故障，投标人在故障发生后应立即响应。需要现场处理的，在道路畅通无拥塞的情况下，投标人应在 1小时内响应 故障并到达故障现场，4 小时内恢复业务。3、电路带宽测试标准: 通道测试:使用测试仪表对光纤通道进行测试,测试结果达到标称值为达标水平。</w:t>
      </w:r>
    </w:p>
    <w:p>
      <w:pPr>
        <w:pStyle w:val="2"/>
        <w:spacing w:line="460" w:lineRule="exact"/>
        <w:ind w:left="0" w:leftChars="0" w:firstLine="471" w:firstLineChars="196"/>
        <w:outlineLvl w:val="0"/>
        <w:rPr>
          <w:rFonts w:ascii="宋体" w:hAnsi="宋体" w:cs="宋体"/>
          <w:b/>
          <w:bCs/>
          <w:color w:val="auto"/>
          <w:sz w:val="24"/>
        </w:rPr>
      </w:pPr>
      <w:r>
        <w:rPr>
          <w:rFonts w:hint="eastAsia" w:ascii="宋体" w:hAnsi="宋体" w:cs="宋体"/>
          <w:b/>
          <w:bCs/>
          <w:color w:val="auto"/>
          <w:sz w:val="24"/>
        </w:rPr>
        <w:t>1.3线路通道带宽测试要求</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投标人应按业务需求清单在20天内完成所投标号相应线路的安装调试工作，并报请采购人组织线路服务达标技术检测，确认服务能力。</w:t>
      </w:r>
    </w:p>
    <w:p>
      <w:pPr>
        <w:pStyle w:val="2"/>
        <w:spacing w:line="460" w:lineRule="exact"/>
        <w:ind w:left="0" w:leftChars="0" w:firstLine="471" w:firstLineChars="196"/>
        <w:outlineLvl w:val="0"/>
        <w:rPr>
          <w:rFonts w:ascii="宋体" w:hAnsi="宋体" w:cs="宋体"/>
          <w:b/>
          <w:bCs/>
          <w:color w:val="auto"/>
          <w:sz w:val="24"/>
        </w:rPr>
      </w:pPr>
      <w:r>
        <w:rPr>
          <w:rFonts w:hint="eastAsia" w:ascii="宋体" w:hAnsi="宋体" w:cs="宋体"/>
          <w:b/>
          <w:bCs/>
          <w:color w:val="auto"/>
          <w:sz w:val="24"/>
        </w:rPr>
        <w:t>1.4线路业务开通要求</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业务开通是指采购人、投标人双方商定的接口点外侧间的业务全程测通，并以最晚一端开通为准。投标人负责协助采购人用户端网络设备的调测。</w:t>
      </w:r>
    </w:p>
    <w:p>
      <w:pPr>
        <w:pStyle w:val="2"/>
        <w:spacing w:line="460" w:lineRule="exact"/>
        <w:ind w:left="0" w:leftChars="0" w:firstLine="471" w:firstLineChars="196"/>
        <w:outlineLvl w:val="0"/>
        <w:rPr>
          <w:rFonts w:ascii="宋体" w:hAnsi="宋体" w:cs="宋体"/>
          <w:b/>
          <w:bCs/>
          <w:color w:val="auto"/>
          <w:sz w:val="24"/>
        </w:rPr>
      </w:pPr>
      <w:r>
        <w:rPr>
          <w:rFonts w:hint="eastAsia" w:ascii="宋体" w:hAnsi="宋体" w:cs="宋体"/>
          <w:b/>
          <w:bCs/>
          <w:color w:val="auto"/>
          <w:sz w:val="24"/>
        </w:rPr>
        <w:t>1.5线路服务模式</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一是7×24小时不间断服务:提供7×24 小时的网络监控、维护和服务，保障用户网络的安全运行；二是投标人需安排一名工作人员参与采购人信息化系统运行管理团队工作，负责检查、通报、协调、保障日常服务中出现的各种问题， 并提供7×24小时客户响应；三是投标人为采购人提供电路运行服务月度、年度报告；四是检查项目服务过程文档收集情况;</w:t>
      </w:r>
    </w:p>
    <w:p>
      <w:pPr>
        <w:pStyle w:val="2"/>
        <w:spacing w:line="460" w:lineRule="exact"/>
        <w:ind w:left="0" w:leftChars="0" w:firstLine="471" w:firstLineChars="196"/>
        <w:outlineLvl w:val="0"/>
        <w:rPr>
          <w:rFonts w:ascii="宋体" w:hAnsi="宋体" w:cs="宋体"/>
          <w:color w:val="auto"/>
          <w:sz w:val="24"/>
        </w:rPr>
      </w:pPr>
      <w:r>
        <w:rPr>
          <w:rFonts w:hint="eastAsia" w:ascii="宋体" w:hAnsi="宋体" w:cs="宋体"/>
          <w:b/>
          <w:bCs/>
          <w:color w:val="auto"/>
          <w:sz w:val="24"/>
        </w:rPr>
        <w:t>1.6线路服务维护人员要求</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一是投标人为采购人配备专门客户工程师（提供专门客户工程师名单），作为与采购人沟通的最直接途径，对采购人提供技术业务咨询服务，在采购人出现特大故障时，客户工程师可以用最快的速度调度好资源，最快地修复障碍；二是配置一名客户经理，统一故障申告渠道。</w:t>
      </w:r>
    </w:p>
    <w:p>
      <w:pPr>
        <w:spacing w:line="460" w:lineRule="exact"/>
        <w:ind w:firstLine="480" w:firstLineChars="200"/>
        <w:jc w:val="left"/>
        <w:rPr>
          <w:rFonts w:ascii="宋体" w:hAnsi="宋体" w:cs="宋体"/>
          <w:color w:val="auto"/>
          <w:sz w:val="24"/>
          <w:szCs w:val="24"/>
        </w:rPr>
      </w:pPr>
      <w:r>
        <w:rPr>
          <w:rFonts w:hint="eastAsia" w:ascii="宋体" w:hAnsi="宋体" w:cs="宋体"/>
          <w:color w:val="auto"/>
          <w:kern w:val="0"/>
          <w:sz w:val="24"/>
          <w:szCs w:val="24"/>
        </w:rPr>
        <w:t>■</w:t>
      </w:r>
      <w:r>
        <w:rPr>
          <w:rFonts w:hint="eastAsia" w:ascii="宋体" w:hAnsi="宋体" w:cs="宋体"/>
          <w:color w:val="auto"/>
          <w:sz w:val="24"/>
          <w:szCs w:val="24"/>
        </w:rPr>
        <w:t>商务要求</w:t>
      </w:r>
    </w:p>
    <w:p>
      <w:pPr>
        <w:pStyle w:val="2"/>
        <w:spacing w:line="460" w:lineRule="exact"/>
        <w:ind w:left="0" w:leftChars="0" w:firstLine="471" w:firstLineChars="196"/>
        <w:outlineLvl w:val="0"/>
        <w:rPr>
          <w:rFonts w:ascii="宋体" w:hAnsi="宋体" w:cs="宋体"/>
          <w:b/>
          <w:bCs/>
          <w:color w:val="auto"/>
          <w:sz w:val="24"/>
        </w:rPr>
      </w:pPr>
      <w:r>
        <w:rPr>
          <w:rFonts w:hint="eastAsia" w:ascii="宋体" w:hAnsi="宋体" w:cs="宋体"/>
          <w:b/>
          <w:bCs/>
          <w:color w:val="auto"/>
          <w:sz w:val="24"/>
        </w:rPr>
        <w:t>2.1采购项目服务响应时间</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服务期限于签订合同之日起至2024年12月31日止完成服务。</w:t>
      </w:r>
    </w:p>
    <w:p>
      <w:pPr>
        <w:pStyle w:val="2"/>
        <w:spacing w:line="460" w:lineRule="exact"/>
        <w:ind w:left="0" w:leftChars="0" w:firstLine="471" w:firstLineChars="196"/>
        <w:outlineLvl w:val="0"/>
        <w:rPr>
          <w:rFonts w:ascii="宋体" w:hAnsi="宋体" w:cs="宋体"/>
          <w:b/>
          <w:bCs/>
          <w:color w:val="auto"/>
          <w:sz w:val="24"/>
        </w:rPr>
      </w:pPr>
      <w:r>
        <w:rPr>
          <w:rFonts w:hint="eastAsia" w:ascii="宋体" w:hAnsi="宋体" w:cs="宋体"/>
          <w:b/>
          <w:bCs/>
          <w:color w:val="auto"/>
          <w:sz w:val="24"/>
        </w:rPr>
        <w:t>2.2采购项目服务其他要求</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投标人需符合以下条件：</w:t>
      </w:r>
    </w:p>
    <w:p>
      <w:pPr>
        <w:pStyle w:val="2"/>
        <w:spacing w:line="460" w:lineRule="exact"/>
        <w:ind w:left="0" w:leftChars="0" w:firstLine="480"/>
        <w:rPr>
          <w:rFonts w:ascii="宋体" w:hAnsi="宋体" w:cs="宋体"/>
          <w:color w:val="auto"/>
          <w:sz w:val="24"/>
        </w:rPr>
      </w:pPr>
      <w:r>
        <w:rPr>
          <w:rFonts w:hint="eastAsia" w:ascii="宋体" w:hAnsi="宋体" w:cs="宋体"/>
          <w:color w:val="auto"/>
          <w:sz w:val="24"/>
        </w:rPr>
        <w:t>1.经营范围必须有移动通信、IP电话及互联网接入服务等同类电信业务；</w:t>
      </w:r>
    </w:p>
    <w:p>
      <w:pPr>
        <w:pStyle w:val="2"/>
        <w:spacing w:line="460" w:lineRule="exact"/>
        <w:ind w:left="0" w:leftChars="0" w:firstLine="480"/>
        <w:outlineLvl w:val="0"/>
        <w:rPr>
          <w:rFonts w:ascii="宋体" w:hAnsi="宋体" w:cs="宋体"/>
          <w:color w:val="auto"/>
          <w:sz w:val="24"/>
        </w:rPr>
      </w:pPr>
      <w:r>
        <w:rPr>
          <w:rFonts w:hint="eastAsia" w:ascii="宋体" w:hAnsi="宋体" w:cs="宋体"/>
          <w:color w:val="auto"/>
          <w:sz w:val="24"/>
        </w:rPr>
        <w:t>2.具备《基础电信业务经营许可证》；</w:t>
      </w:r>
    </w:p>
    <w:p>
      <w:pPr>
        <w:rPr>
          <w:rFonts w:hint="eastAsia" w:ascii="宋体" w:hAnsi="宋体" w:eastAsia="宋体" w:cs="宋体"/>
          <w:b/>
          <w:bCs/>
          <w:color w:val="auto"/>
          <w:kern w:val="2"/>
          <w:sz w:val="24"/>
          <w:szCs w:val="24"/>
          <w:lang w:val="en-US" w:eastAsia="zh-CN" w:bidi="ar-SA"/>
        </w:rPr>
      </w:pPr>
      <w:r>
        <w:rPr>
          <w:rFonts w:hint="eastAsia" w:ascii="宋体" w:hAnsi="宋体" w:cs="宋体"/>
          <w:color w:val="auto"/>
          <w:sz w:val="24"/>
        </w:rPr>
        <w:t>3.在海南省各市县均具备分公司服务团队，线缆员不少于12人且具有光缆线务员证书。</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705968"/>
    <w:multiLevelType w:val="singleLevel"/>
    <w:tmpl w:val="31705968"/>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YmZkNjA3Mjk1ZjM3YzMyZmZmOWJkMWU4Y2E4NGQifQ=="/>
  </w:docVars>
  <w:rsids>
    <w:rsidRoot w:val="00000000"/>
    <w:rsid w:val="1C4D4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Calibri" w:hAnsi="Calibri" w:eastAsia="Calibri" w:cs="Times New Roman"/>
      <w:kern w:val="2"/>
      <w:sz w:val="24"/>
      <w:szCs w:val="24"/>
      <w:lang w:val="en-US" w:eastAsia="zh-CN" w:bidi="ar-SA"/>
    </w:rPr>
  </w:style>
  <w:style w:type="paragraph" w:styleId="6">
    <w:name w:val="heading 1"/>
    <w:basedOn w:val="1"/>
    <w:next w:val="1"/>
    <w:link w:val="9"/>
    <w:qFormat/>
    <w:uiPriority w:val="0"/>
    <w:pPr>
      <w:keepNext/>
      <w:keepLines/>
      <w:spacing w:before="120" w:after="120"/>
      <w:jc w:val="center"/>
      <w:outlineLvl w:val="0"/>
    </w:pPr>
    <w:rPr>
      <w:rFonts w:ascii="Times New Roman" w:hAnsi="Times New Roman" w:eastAsia="宋体"/>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after="120" w:line="240" w:lineRule="auto"/>
      <w:ind w:left="420" w:leftChars="200" w:firstLine="420"/>
    </w:pPr>
    <w:rPr>
      <w:kern w:val="2"/>
      <w:sz w:val="21"/>
    </w:rPr>
  </w:style>
  <w:style w:type="paragraph" w:styleId="3">
    <w:name w:val="Body Text Indent"/>
    <w:basedOn w:val="1"/>
    <w:next w:val="4"/>
    <w:qFormat/>
    <w:uiPriority w:val="0"/>
    <w:pPr>
      <w:spacing w:line="480" w:lineRule="auto"/>
      <w:ind w:firstLine="560" w:firstLineChars="200"/>
    </w:pPr>
    <w:rPr>
      <w:kern w:val="0"/>
    </w:rPr>
  </w:style>
  <w:style w:type="paragraph" w:styleId="4">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5">
    <w:name w:val="Body Text"/>
    <w:basedOn w:val="1"/>
    <w:next w:val="1"/>
    <w:qFormat/>
    <w:uiPriority w:val="0"/>
    <w:rPr>
      <w:kern w:val="0"/>
    </w:rPr>
  </w:style>
  <w:style w:type="character" w:customStyle="1" w:styleId="9">
    <w:name w:val="标题 1 Char"/>
    <w:link w:val="6"/>
    <w:qFormat/>
    <w:uiPriority w:val="0"/>
    <w:rPr>
      <w:rFonts w:ascii="Times New Roman" w:hAnsi="Times New Roman" w:eastAsia="宋体"/>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2023-09-20T09:00:31Z</dcterms:created>
  <dc:creator>Administrator</dc:creator>
  <cp:lastModifiedBy>故事与她</cp:lastModifiedBy>
  <dcterms:modified xsi:type="dcterms:W3CDTF">2023-09-20T09:02:32Z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A3BC2079C1E84C34985BD212E1CD025B_12</vt:lpwstr>
  </property>
</Properties>
</file>