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pacing w:before="312" w:after="312" w:line="360" w:lineRule="auto"/>
        <w:rPr>
          <w:rFonts w:hint="default" w:ascii="Times New Roman" w:hAnsi="Times New Roman" w:cs="Times New Roman"/>
          <w:color w:val="0D0D0D" w:themeColor="text1" w:themeTint="F2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bookmarkStart w:id="0" w:name="_Toc10104"/>
      <w:bookmarkStart w:id="1" w:name="_Toc22441"/>
      <w:bookmarkStart w:id="2" w:name="_Toc15841"/>
      <w:bookmarkStart w:id="3" w:name="_Toc22774"/>
      <w:bookmarkStart w:id="4" w:name="_Toc9924"/>
      <w:bookmarkStart w:id="5" w:name="_Toc2945"/>
      <w:bookmarkStart w:id="6" w:name="_Toc12270"/>
      <w:bookmarkStart w:id="7" w:name="_Toc4932"/>
      <w:bookmarkStart w:id="8" w:name="_Toc12539"/>
      <w:bookmarkStart w:id="9" w:name="_Toc23620"/>
      <w:bookmarkStart w:id="10" w:name="_Toc26619"/>
      <w:bookmarkStart w:id="11" w:name="_Toc144390747"/>
      <w:bookmarkStart w:id="12" w:name="_Toc13519"/>
      <w:bookmarkStart w:id="13" w:name="_Toc13832"/>
      <w:bookmarkStart w:id="14" w:name="_Toc3558"/>
      <w:bookmarkStart w:id="15" w:name="_Toc30673"/>
      <w:bookmarkStart w:id="16" w:name="_Toc22863"/>
      <w:r>
        <w:rPr>
          <w:rFonts w:hint="eastAsia" w:cs="Times New Roman"/>
          <w:color w:val="0D0D0D" w:themeColor="text1" w:themeTint="F2"/>
          <w:highlight w:val="none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用户需求书</w:t>
      </w:r>
      <w:bookmarkEnd w:id="0"/>
    </w:p>
    <w:p>
      <w:pP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</w:pPr>
      <w:bookmarkStart w:id="17" w:name="_Toc6862"/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一、项目需求</w:t>
      </w:r>
      <w:bookmarkEnd w:id="17"/>
    </w:p>
    <w:p>
      <w:pPr>
        <w:ind w:firstLine="560"/>
        <w:rPr>
          <w:rFonts w:hint="eastAsia" w:ascii="Times New Roman" w:hAnsi="Times New Roman" w:eastAsia="宋体" w:cs="Times New Roman"/>
          <w:sz w:val="28"/>
          <w:szCs w:val="22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（1）</w:t>
      </w:r>
      <w:r>
        <w:rPr>
          <w:rFonts w:hint="eastAsia" w:ascii="Times New Roman" w:hAnsi="Times New Roman" w:eastAsia="宋体" w:cs="Times New Roman"/>
          <w:sz w:val="28"/>
          <w:szCs w:val="22"/>
          <w:lang w:eastAsia="zh-CN"/>
        </w:rPr>
        <w:t>保障海南热带雨林国家公园管护人员野外作业人身安全和身体健康，降低野外作业风险隐患，提高野外作业效率，推进国家公园高质量发展。</w:t>
      </w:r>
    </w:p>
    <w:p>
      <w:pPr>
        <w:ind w:firstLine="560"/>
        <w:rPr>
          <w:rFonts w:hint="eastAsia" w:ascii="Times New Roman" w:hAnsi="Times New Roman" w:eastAsia="宋体" w:cs="Times New Roman"/>
          <w:sz w:val="28"/>
          <w:szCs w:val="22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eastAsia="zh-CN"/>
        </w:rPr>
        <w:t>（</w:t>
      </w: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sz w:val="28"/>
          <w:szCs w:val="22"/>
          <w:lang w:eastAsia="zh-CN"/>
        </w:rPr>
        <w:t>）统一国家公园管护人员着装以及装备配置，促进国家公园管护队伍规范化、专业化，展示国家公园管护队伍良好形象，提升国家公园管护队伍集体归属感。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p>
      <w:pP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</w:pPr>
      <w:bookmarkStart w:id="18" w:name="_Toc7959"/>
      <w:r>
        <w:rPr>
          <w:rFonts w:hint="eastAsia" w:ascii="华文中宋" w:hAnsi="华文中宋" w:eastAsia="华文中宋" w:cs="华文中宋"/>
          <w:b/>
          <w:bCs/>
          <w:sz w:val="32"/>
          <w:szCs w:val="32"/>
          <w:lang w:val="en-US" w:eastAsia="zh-CN"/>
        </w:rPr>
        <w:t>二、采购意向</w:t>
      </w:r>
      <w:bookmarkEnd w:id="18"/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1、项目名称：购置林草野外作业安全保障装备</w:t>
      </w:r>
    </w:p>
    <w:p>
      <w:pPr>
        <w:rPr>
          <w:rFonts w:hint="default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2、采购单位：海南省林业局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3、采购金额及最高限价：5070000.00元（大写：伍佰零柒万元整）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5、合同履行期限（交货期）：合同签订之日起180日内完成供货；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6、交货地点：用户指定地点。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7、付款方式：（具体以合同签订为准）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(1) 预付款：签订合同后10个工作日内，甲方支付不少于合同总价30%的预付款；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(2)货物全部送至采购人指定的交货地点，经甲方验收合格后10个工作日内，甲方支付剩余尾款。(因财政拨款未到位等原因，甲方付款时间顺延到位后支付)。</w:t>
      </w:r>
    </w:p>
    <w:p>
      <w:pP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sectPr>
          <w:pgSz w:w="11906" w:h="16838"/>
          <w:pgMar w:top="1440" w:right="1800" w:bottom="1440" w:left="1800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pStyle w:val="7"/>
        <w:jc w:val="center"/>
        <w:rPr>
          <w:rFonts w:hint="default"/>
          <w:lang w:val="en-US" w:eastAsia="zh-CN"/>
        </w:rPr>
      </w:pPr>
      <w:r>
        <w:rPr>
          <w:rFonts w:hint="eastAsia" w:ascii="Times New Roman" w:hAnsi="Times New Roman" w:eastAsia="宋体" w:cs="Times New Roman"/>
          <w:sz w:val="28"/>
          <w:szCs w:val="22"/>
          <w:lang w:val="en-US" w:eastAsia="zh-CN"/>
        </w:rPr>
        <w:t>采购计划一览表</w:t>
      </w:r>
    </w:p>
    <w:tbl>
      <w:tblPr>
        <w:tblStyle w:val="14"/>
        <w:tblW w:w="4496" w:type="pct"/>
        <w:tblCellSpacing w:w="0" w:type="dxa"/>
        <w:tblInd w:w="0" w:type="dxa"/>
        <w:tblBorders>
          <w:top w:val="single" w:color="000000" w:themeColor="text1" w:sz="6" w:space="0"/>
          <w:left w:val="single" w:color="000000" w:themeColor="text1" w:sz="6" w:space="0"/>
          <w:bottom w:val="single" w:color="000000" w:themeColor="text1" w:sz="6" w:space="0"/>
          <w:right w:val="single" w:color="000000" w:themeColor="text1" w:sz="6" w:space="0"/>
          <w:insideH w:val="single" w:color="000000" w:themeColor="text1" w:sz="6" w:space="0"/>
          <w:insideV w:val="single" w:color="000000" w:themeColor="text1" w:sz="6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11"/>
        <w:gridCol w:w="1130"/>
        <w:gridCol w:w="555"/>
        <w:gridCol w:w="1005"/>
        <w:gridCol w:w="1025"/>
        <w:gridCol w:w="5666"/>
        <w:gridCol w:w="4415"/>
      </w:tblGrid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7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品名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单位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数量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是否提供样品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产品描述及技术参数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8"/>
                <w:lang w:val="en-US" w:eastAsia="zh-CN"/>
              </w:rPr>
              <w:t>示例图样</w:t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2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1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夏装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套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5192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产品描述：军绿色；</w:t>
            </w:r>
            <w:r>
              <w:rPr>
                <w:rFonts w:hint="eastAsia" w:asciiTheme="minorEastAsia" w:hAnsiTheme="minorEastAsia" w:cstheme="minorEastAsia"/>
                <w:color w:val="auto"/>
                <w:sz w:val="28"/>
                <w:szCs w:val="28"/>
                <w:lang w:val="en-US" w:eastAsia="zh-CN"/>
              </w:rPr>
              <w:t>亲肤柔软、舒适透气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纤维成分含量（%）：60棉（允差±2）,40聚脂纤维（允差±2）</w:t>
            </w:r>
            <w:r>
              <w:rPr>
                <w:rFonts w:hint="eastAsia" w:asciiTheme="minorEastAsia" w:hAnsiTheme="minorEastAsia" w:cstheme="minorEastAsia"/>
                <w:color w:val="auto"/>
                <w:sz w:val="28"/>
                <w:szCs w:val="28"/>
                <w:lang w:val="en-US" w:eastAsia="zh-CN"/>
              </w:rPr>
              <w:t>；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密度（根/10㎝）：经密555（允差±10），纬密255（允差±5）；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单位面积质量（g/㎡）:155（允差±5）；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线密度（tex）:经纱18（允差±2）,纬纱20（允差±2）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甲醛含量：(mg/kg）≤75；PH值4.0-8.5；无异味 ；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染色牢度（级）：耐水≥3，耐酸汗渍≥3，耐碱汗渍≥3，耐干摩擦≥3；可分解致癌芳香胺染料：禁用（≤20mg/kg）；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0" w:lineRule="exac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8"/>
                <w:szCs w:val="28"/>
                <w:lang w:val="en-US" w:eastAsia="zh-CN"/>
              </w:rPr>
              <w:t>透气率（㎜/s)≥80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858135" cy="2769235"/>
                  <wp:effectExtent l="0" t="0" r="18415" b="12065"/>
                  <wp:docPr id="2" name="图片 1" descr="5cd094a8e15c29c515cfbe82d330c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5cd094a8e15c29c515cfbe82d330c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35" cy="2769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77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2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秋装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套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是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 xml:space="preserve">产品描述：军绿色；耐脏耐劳耐磨，抗撕裂，不褪色，不起球，抗皱。  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纤维成分含量（%）：20棉（允差±2）,80聚脂纤维（允差±2）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密度（根/10㎝）：经密375（允差±10），纬密190（允差±5）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单位面积质量（g/㎡）:220（允差±5）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甲醛含量：(mg/kg）≤75，PH值4.0-8.5，无异味；可分解致癌芳香胺染料：禁用（≤20mg/kg）甲醛含量：(mg/kg）≤75，PH值4.0-8.5，无异味；可分解致癌芳香胺染料：禁用（≤20mg/kg）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染色牢度（级）：耐水≥3，耐酸汗渍≥3，耐碱汗渍≥3，耐干摩擦≥3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耐磨性能（次）≥30000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792095" cy="2637155"/>
                  <wp:effectExtent l="0" t="0" r="8255" b="10795"/>
                  <wp:docPr id="33" name="图片 4" descr="8d33c4ea0716401f802a0e4a2837c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4" descr="8d33c4ea0716401f802a0e4a2837caf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2637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77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3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冬装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冲锋衣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件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是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 xml:space="preserve">产品描述：（1）面料颜色：黄绿加灰色；  （2）内胆：藏蓝色。 三合一可拆卸内胆，防风防水防雨，透气保暖。   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1、外壳：面层100%锦纶；底层100%聚脂纤维；PH值4.0-8.5；甲醛含量：(mg/kg）≤75；无异味；可分解致癌芳香胺染料：禁用（≤20mg/kg）；染色牢度（级）：耐水≥3，耐酸汗渍≥3，耐碱汗渍≥3；耐皂洗色牢度4-5；耐干摩擦≥3；耐磨性能（次）≥30000；防水性能（㎪）≥50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2、内胆：藏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蓝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色；面层95%聚脂纤维（允差±2），5%氨纶（允差±2）；底层95%聚脂纤维（允差±2），5%氨纶（允差±2）；PH值4.0-8.5；甲醛含量：(mg/kg）≤75；无异味；可分解致癌芳香胺染料：禁用（≤20mg/kg）；染色牢度（级）：耐水≥3，耐酸汗渍≥3，耐碱汗渍≥3；耐干摩擦≥3。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483485" cy="2305050"/>
                  <wp:effectExtent l="0" t="0" r="12065" b="0"/>
                  <wp:docPr id="1" name="图片 11" descr="3d90981cff74bb829734a39f006ce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1" descr="3d90981cff74bb829734a39f006ce9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8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0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4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冰爽无痕翻领POLO衫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件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 xml:space="preserve">产品描述：浅蓝色 ；吸湿快干，冰爽清肤，不易起皱，透气性强。        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纤维成分含量（%）：87锦纶（允差±2）,13氨纶（允差±2）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染色牢度（级）：耐水≥3，耐酸汗渍≥3，耐碱汗渍≥3，耐干摩擦≥3；单位面积质量（g/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㎡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）:157（允差±5）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甲醛含量：(mg/kg）≤75；PH值4.0-8.5；无异味；可分解致癌芳香胺染料：禁用（≤20mg/kg）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207895" cy="2780030"/>
                  <wp:effectExtent l="0" t="0" r="1905" b="1270"/>
                  <wp:docPr id="5" name="图片 4" descr="1973859f299539e1031d12769d133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1973859f299539e1031d12769d1338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895" cy="278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1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5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巡护鞋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双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5192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default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产品描述：黑色；轻便耐滑，耐脏耐磨，舒适透气，抗菌防臭。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5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耐折性能：折后割口裂口长度≤20.0㎜，折后外底可以出现新裂纹，单处长度≤5.0㎜并且不应超过3处，帮面不应出现破损，帮底、围条、沿条、底墙结合部位无开胶，复合底无脱层，鞋底、底墙涂饰层不得脱落。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2、外底耐磨性能≤14.0㎜；成型底鞋跟硬度（邵尔A）≥55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2254250" cy="2614930"/>
                  <wp:effectExtent l="0" t="0" r="12700" b="13970"/>
                  <wp:docPr id="7" name="图片 6" descr="d426aaf73194ed8c1607170be80ed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d426aaf73194ed8c1607170be80edf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250" cy="2614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6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作训帽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顶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产品描述：军绿色；轻薄透气，不褪色，不起球，帽檐可折叠，易收纳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面料：纤维含量100%锦纶；里料：100%聚脂纤维。。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甲醛含量：(mg/kg）≤75；PH值4.0-8.5；无异味。。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染色牢度（级）：耐水≥3，耐酸汗渍≥3，耐碱汗渍≥3，耐干摩擦≥3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可分解致癌芳香胺染料：禁用（≤20mg/kg）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2394585" cy="1287145"/>
                  <wp:effectExtent l="0" t="0" r="5715" b="8255"/>
                  <wp:docPr id="10" name="图片 9" descr="76045bab89d6d478361497f443c30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 descr="76045bab89d6d478361497f443c30f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85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9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7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双肩包（双层）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个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产品描述：军绿色双层；规格：高55㎝，宽35㎝，厚21㎝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面料：100%聚脂纤维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游离甲醛(mg/kg)≤300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3.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可分解致癌芳香胺染料</w:t>
            </w: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：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禁用（≤20mg/kg）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4.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耐摩擦色牢度（级）：干擦≥3-4，湿擦≥2-3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1874520" cy="2688590"/>
                  <wp:effectExtent l="0" t="0" r="11430" b="16510"/>
                  <wp:docPr id="9" name="图片 8" descr="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" descr="66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268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0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8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水壶（不锈钢）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个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产品描述：军绿色；容量：800ML，带壶套，304食用级不锈钢内胆，带汤勺，24小时保温。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耐腐蚀性能≥9级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甲醛含量：(mg/kg）≤75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6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tLeast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PH值4.0-8.5；可分解致癌芳香胺染料：禁用（≤20mg/kg）。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1734820" cy="1362710"/>
                  <wp:effectExtent l="0" t="0" r="17780" b="8890"/>
                  <wp:docPr id="8" name="图片 7" descr="543da8d858c9aad231f479836cce1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 descr="543da8d858c9aad231f479836cce18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1362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77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9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皮带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条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产品描述：扣头银灰色，编织带军绿色，尼龙耐磨腰身，合金头不生锈，不易变形，经久耐用。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right="0" w:rightChars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1.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 xml:space="preserve">耐腐蚀性能≥9级； 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cstheme="minorEastAsia"/>
                <w:sz w:val="28"/>
                <w:szCs w:val="28"/>
                <w:lang w:val="en-US" w:eastAsia="zh-CN"/>
              </w:rPr>
              <w:t>2.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甲醛含量：(mg/kg）≤75；PH值4.0-8.5；可分解致癌芳香胺染料：禁用（≤20mg/kg）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inline distT="0" distB="0" distL="114300" distR="114300">
                  <wp:extent cx="1530985" cy="1842770"/>
                  <wp:effectExtent l="0" t="0" r="12065" b="5080"/>
                  <wp:docPr id="6" name="图片 5" descr="624cd542ca1f5799bbef5d9a6e1b9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624cd542ca1f5799bbef5d9a6e1b9db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985" cy="184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6" w:space="0"/>
            <w:left w:val="single" w:color="000000" w:themeColor="text1" w:sz="6" w:space="0"/>
            <w:bottom w:val="single" w:color="000000" w:themeColor="text1" w:sz="6" w:space="0"/>
            <w:right w:val="single" w:color="000000" w:themeColor="text1" w:sz="6" w:space="0"/>
            <w:insideH w:val="single" w:color="000000" w:themeColor="text1" w:sz="6" w:space="0"/>
            <w:insideV w:val="single" w:color="000000" w:themeColor="text1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6" w:hRule="atLeast"/>
          <w:tblCellSpacing w:w="0" w:type="dxa"/>
        </w:trPr>
        <w:tc>
          <w:tcPr>
            <w:tcW w:w="21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10</w:t>
            </w:r>
          </w:p>
        </w:tc>
        <w:tc>
          <w:tcPr>
            <w:tcW w:w="3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头灯</w:t>
            </w:r>
          </w:p>
        </w:tc>
        <w:tc>
          <w:tcPr>
            <w:tcW w:w="19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  <w:t>条</w:t>
            </w:r>
          </w:p>
        </w:tc>
        <w:tc>
          <w:tcPr>
            <w:tcW w:w="348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仿宋_GB2312" w:hAnsi="仿宋_GB2312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2596</w:t>
            </w:r>
          </w:p>
        </w:tc>
        <w:tc>
          <w:tcPr>
            <w:tcW w:w="355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  <w:t>否</w:t>
            </w:r>
          </w:p>
        </w:tc>
        <w:tc>
          <w:tcPr>
            <w:tcW w:w="1966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产品描述：产品描述：轻巧方便，头带可调节大小，散热性好，带挥手感应功能，灯头可伸缩调焦；双核Q5-45W灯芯；4节18650充电锂电池；1个双槽座充，1根USB充电线；常规最大射程：50-500米；续航时间：大于10小时。。</w:t>
            </w:r>
          </w:p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  <w:lang w:val="en-US" w:eastAsia="zh-CN"/>
              </w:rPr>
              <w:t>1、</w:t>
            </w:r>
            <w:r>
              <w:rPr>
                <w:rFonts w:hint="eastAsia" w:asciiTheme="minorEastAsia" w:hAnsiTheme="minorEastAsia" w:eastAsiaTheme="minorEastAsia" w:cstheme="minorEastAsia"/>
                <w:sz w:val="28"/>
                <w:szCs w:val="28"/>
              </w:rPr>
              <w:t>符合GB/T26572-2011《电子电气产品中限用物质的限量要求》</w:t>
            </w:r>
          </w:p>
        </w:tc>
        <w:tc>
          <w:tcPr>
            <w:tcW w:w="1532" w:type="pct"/>
            <w:tcBorders>
              <w:tl2br w:val="nil"/>
              <w:tr2bl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pStyle w:val="12"/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28"/>
                <w:szCs w:val="22"/>
                <w:lang w:val="en-US" w:eastAsia="zh-CN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0</wp:posOffset>
                  </wp:positionV>
                  <wp:extent cx="1946910" cy="1608455"/>
                  <wp:effectExtent l="0" t="0" r="15240" b="10795"/>
                  <wp:wrapTight wrapText="bothSides">
                    <wp:wrapPolygon>
                      <wp:start x="0" y="0"/>
                      <wp:lineTo x="0" y="21233"/>
                      <wp:lineTo x="21346" y="21233"/>
                      <wp:lineTo x="21346" y="0"/>
                      <wp:lineTo x="0" y="0"/>
                    </wp:wrapPolygon>
                  </wp:wrapTight>
                  <wp:docPr id="12" name="图片 11" descr="04d1feca98a5407d9cbf59eb56ce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1" descr="04d1feca98a5407d9cbf59eb56ce73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rFonts w:hint="eastAsia" w:eastAsia="宋体" w:cs="Times New Roman"/>
          <w:sz w:val="28"/>
          <w:szCs w:val="22"/>
        </w:rPr>
      </w:pPr>
      <w:r>
        <w:rPr>
          <w:rFonts w:hint="eastAsia" w:eastAsia="宋体" w:cs="Times New Roman"/>
          <w:sz w:val="28"/>
          <w:szCs w:val="22"/>
          <w:lang w:val="en-US" w:eastAsia="zh-CN"/>
        </w:rPr>
        <w:t>注：</w:t>
      </w:r>
      <w:r>
        <w:rPr>
          <w:rFonts w:hint="eastAsia" w:eastAsia="宋体" w:cs="Times New Roman"/>
          <w:sz w:val="28"/>
          <w:szCs w:val="22"/>
        </w:rPr>
        <w:t>需求清单中所列的品牌、型号</w:t>
      </w:r>
      <w:r>
        <w:rPr>
          <w:rFonts w:hint="eastAsia" w:eastAsia="宋体" w:cs="Times New Roman"/>
          <w:sz w:val="28"/>
          <w:szCs w:val="22"/>
          <w:lang w:eastAsia="zh-CN"/>
        </w:rPr>
        <w:t>、</w:t>
      </w:r>
      <w:r>
        <w:rPr>
          <w:rFonts w:hint="eastAsia" w:eastAsia="宋体" w:cs="Times New Roman"/>
          <w:sz w:val="28"/>
          <w:szCs w:val="22"/>
          <w:lang w:val="en-US" w:eastAsia="zh-CN"/>
        </w:rPr>
        <w:t>技术参数等</w:t>
      </w:r>
      <w:r>
        <w:rPr>
          <w:rFonts w:hint="eastAsia" w:eastAsia="宋体" w:cs="Times New Roman"/>
          <w:sz w:val="28"/>
          <w:szCs w:val="22"/>
        </w:rPr>
        <w:t>仅起参考作用，投标人可选用其他品牌、型号替代，但替代的品牌、型号在实质性要求和条件上要相当于或优于参考品牌、型号。</w:t>
      </w:r>
    </w:p>
    <w:p>
      <w:pPr>
        <w:pStyle w:val="2"/>
        <w:rPr>
          <w:rFonts w:hint="eastAsia" w:eastAsia="宋体" w:cs="Times New Roman"/>
          <w:sz w:val="28"/>
          <w:szCs w:val="22"/>
        </w:rPr>
      </w:pPr>
    </w:p>
    <w:p>
      <w:pPr>
        <w:pStyle w:val="2"/>
        <w:rPr>
          <w:rFonts w:hint="eastAsia" w:eastAsia="宋体" w:cs="Times New Roman"/>
          <w:sz w:val="28"/>
          <w:szCs w:val="22"/>
          <w:lang w:val="en-US" w:eastAsia="zh-CN"/>
        </w:rPr>
      </w:pPr>
      <w:r>
        <w:rPr>
          <w:rFonts w:hint="eastAsia" w:eastAsia="宋体" w:cs="Times New Roman"/>
          <w:sz w:val="28"/>
          <w:szCs w:val="22"/>
          <w:lang w:val="en-US" w:eastAsia="zh-CN"/>
        </w:rPr>
        <w:t>售后服务等要求</w:t>
      </w:r>
    </w:p>
    <w:p>
      <w:pPr>
        <w:pStyle w:val="2"/>
        <w:rPr>
          <w:rFonts w:hint="eastAsia" w:eastAsia="宋体" w:cs="Times New Roman"/>
          <w:sz w:val="28"/>
          <w:szCs w:val="22"/>
          <w:lang w:val="en-US" w:eastAsia="zh-CN"/>
        </w:rPr>
      </w:pPr>
      <w:r>
        <w:rPr>
          <w:rFonts w:hint="eastAsia" w:eastAsia="宋体" w:cs="Times New Roman"/>
          <w:sz w:val="28"/>
          <w:szCs w:val="22"/>
          <w:lang w:val="en-US" w:eastAsia="zh-CN"/>
        </w:rPr>
        <w:t>1、所有货物必须是全新、未使用过的原装合格正品，具有完整齐全的产品合格证书。</w:t>
      </w:r>
    </w:p>
    <w:p>
      <w:pPr>
        <w:pStyle w:val="2"/>
        <w:rPr>
          <w:rFonts w:hint="eastAsia" w:eastAsia="宋体" w:cs="Times New Roman"/>
          <w:sz w:val="28"/>
          <w:szCs w:val="22"/>
          <w:lang w:val="en-US" w:eastAsia="zh-CN"/>
        </w:rPr>
      </w:pPr>
      <w:r>
        <w:rPr>
          <w:rFonts w:hint="eastAsia" w:eastAsia="宋体" w:cs="Times New Roman"/>
          <w:sz w:val="28"/>
          <w:szCs w:val="22"/>
          <w:lang w:val="en-US" w:eastAsia="zh-CN"/>
        </w:rPr>
        <w:t>2、中标人在接到采购人通知后，应在四小时内响应、到达，对有问题的产品予以无条件更换。产品质量经国家质检机构鉴定不符合质量要求的，或者不符合投标条款的按合同约定承担违约责任。</w:t>
      </w:r>
    </w:p>
    <w:p>
      <w:pPr>
        <w:pStyle w:val="2"/>
        <w:rPr>
          <w:rFonts w:hint="eastAsia" w:eastAsia="宋体" w:cs="Times New Roman"/>
          <w:sz w:val="28"/>
          <w:szCs w:val="22"/>
          <w:lang w:val="en-US" w:eastAsia="zh-CN"/>
        </w:rPr>
      </w:pPr>
      <w:r>
        <w:rPr>
          <w:rFonts w:hint="eastAsia" w:eastAsia="宋体" w:cs="Times New Roman"/>
          <w:sz w:val="28"/>
          <w:szCs w:val="22"/>
          <w:lang w:val="en-US" w:eastAsia="zh-CN"/>
        </w:rPr>
        <w:t>3、中标人在签订合同后，3个工作日内到达采购人指定地点提供测量尺寸服务。</w:t>
      </w:r>
    </w:p>
    <w:p>
      <w:pPr>
        <w:pStyle w:val="2"/>
        <w:rPr>
          <w:rFonts w:hint="eastAsia" w:eastAsia="宋体" w:cs="Times New Roman"/>
          <w:sz w:val="28"/>
          <w:szCs w:val="22"/>
        </w:rPr>
        <w:sectPr>
          <w:pgSz w:w="16838" w:h="11906" w:orient="landscape"/>
          <w:pgMar w:top="1134" w:right="567" w:bottom="567" w:left="567" w:header="851" w:footer="992" w:gutter="0"/>
          <w:pgBorders w:offsetFrom="page"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>
      <w:pPr>
        <w:rPr>
          <w:rFonts w:hint="eastAsia" w:ascii="Times New Roman" w:hAnsi="Times New Roman" w:eastAsia="华文中宋" w:cs="Times New Roman"/>
          <w:b/>
          <w:kern w:val="0"/>
          <w:sz w:val="36"/>
          <w:szCs w:val="20"/>
          <w:lang w:val="en-US" w:eastAsia="zh-CN" w:bidi="ar-SA"/>
        </w:rPr>
      </w:pPr>
      <w:bookmarkStart w:id="19" w:name="_Toc12718"/>
      <w:bookmarkStart w:id="20" w:name="_Toc8755"/>
      <w:bookmarkStart w:id="21" w:name="_Toc20957"/>
      <w:bookmarkStart w:id="22" w:name="_Toc1010"/>
      <w:bookmarkStart w:id="23" w:name="_Toc9395"/>
      <w:bookmarkStart w:id="24" w:name="_Toc17970"/>
      <w:bookmarkStart w:id="25" w:name="_Toc2960"/>
      <w:bookmarkStart w:id="26" w:name="_Toc144390772"/>
      <w:bookmarkStart w:id="27" w:name="_Toc14706"/>
      <w:bookmarkStart w:id="28" w:name="_Toc26988"/>
      <w:bookmarkStart w:id="29" w:name="_Toc31787"/>
      <w:bookmarkStart w:id="30" w:name="_Toc24008"/>
      <w:bookmarkStart w:id="31" w:name="_Toc11047"/>
      <w:bookmarkStart w:id="32" w:name="_Toc11105"/>
      <w:r>
        <w:rPr>
          <w:rFonts w:hint="eastAsia" w:ascii="Times New Roman" w:hAnsi="Times New Roman" w:eastAsia="华文中宋" w:cs="Times New Roman"/>
          <w:b/>
          <w:kern w:val="0"/>
          <w:sz w:val="36"/>
          <w:szCs w:val="20"/>
          <w:lang w:val="en-US" w:eastAsia="zh-CN" w:bidi="ar-SA"/>
        </w:rPr>
        <w:t>三、验收方案</w:t>
      </w:r>
      <w:bookmarkEnd w:id="19"/>
    </w:p>
    <w:p>
      <w:pPr>
        <w:ind w:firstLine="560"/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由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组织专业人员根据采购合同条款对货物进行验收，并出具验收结论。项目采购资金支付、采购信息及档案管理、采购工作职责等分别执行</w:t>
      </w:r>
      <w:r>
        <w:rPr>
          <w:rFonts w:hint="default" w:ascii="Times New Roman" w:hAnsi="Times New Roman" w:eastAsia="宋体" w:cs="Times New Roman"/>
          <w:b w:val="0"/>
          <w:bCs w:val="0"/>
          <w:kern w:val="2"/>
          <w:sz w:val="28"/>
          <w:szCs w:val="22"/>
          <w:lang w:val="en-US" w:eastAsia="zh-CN" w:bidi="ar-SA"/>
        </w:rPr>
        <w:t>《海南省林业局林业项目管理办法（试行）》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第五、六、七章等相关条款规定。</w:t>
      </w:r>
    </w:p>
    <w:p>
      <w:pPr>
        <w:ind w:firstLine="560"/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项目供应商提供不符合招标文件和本合同规定的货物，我方有权拒绝接受。</w:t>
      </w:r>
    </w:p>
    <w:p>
      <w:pPr>
        <w:ind w:firstLine="560"/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采购物品到达现场后，双方必须在现场确认采购物品的完好性， 再由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收货。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在3个工作日内进行验收。项目供应商应按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安排的时间派人到现场，对采购物品进行清点验收，并签字确认。若采购物品与合同要求不符，项目供应商负责补齐。</w:t>
      </w:r>
    </w:p>
    <w:p>
      <w:pPr>
        <w:ind w:firstLine="560"/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组成验收小组按有关规定、规范进行验收，必要时邀请相关 的专业人员或机构参与验收。采购物品若有国家标准按照国家标准验收，若无国家标准按行业标准或相关技术规范进行验收。</w:t>
      </w:r>
    </w:p>
    <w:p>
      <w:pPr>
        <w:ind w:firstLine="560"/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采购</w:t>
      </w:r>
      <w:bookmarkStart w:id="33" w:name="_GoBack"/>
      <w:bookmarkEnd w:id="33"/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人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对验收有异议的，在验收10个工作日内以书面形式向项目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供应商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提出，项目</w:t>
      </w:r>
      <w:r>
        <w:rPr>
          <w:rFonts w:hint="eastAsia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供应商</w:t>
      </w:r>
      <w:r>
        <w:rPr>
          <w:rFonts w:hint="default" w:ascii="Times New Roman" w:hAnsi="Times New Roman" w:eastAsia="宋体" w:cs="Times New Roman"/>
          <w:b w:val="0"/>
          <w:bCs w:val="0"/>
          <w:sz w:val="28"/>
          <w:szCs w:val="22"/>
          <w:lang w:val="en-US" w:eastAsia="zh-CN"/>
        </w:rPr>
        <w:t>应自收到我方书面异议后10个工作日内及时予以解决。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>
      <w:pPr>
        <w:numPr>
          <w:ilvl w:val="0"/>
          <w:numId w:val="0"/>
        </w:numPr>
        <w:jc w:val="both"/>
        <w:rPr>
          <w:b/>
          <w:color w:val="auto"/>
          <w:sz w:val="32"/>
          <w:szCs w:val="32"/>
          <w:highlight w:val="none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4" w:space="0"/>
      </w:pBdr>
      <w:spacing w:line="240" w:lineRule="auto"/>
      <w:jc w:val="left"/>
      <w:rPr>
        <w:rFonts w:hint="eastAsia" w:ascii="宋体" w:hAnsi="宋体" w:cs="宋体"/>
        <w:b/>
        <w:bCs/>
        <w:kern w:val="0"/>
        <w:sz w:val="30"/>
        <w:szCs w:val="3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566B7F"/>
    <w:multiLevelType w:val="singleLevel"/>
    <w:tmpl w:val="AF566B7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C8016152"/>
    <w:multiLevelType w:val="singleLevel"/>
    <w:tmpl w:val="C8016152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D8E09EF0"/>
    <w:multiLevelType w:val="singleLevel"/>
    <w:tmpl w:val="D8E09EF0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00000018"/>
    <w:multiLevelType w:val="multilevel"/>
    <w:tmpl w:val="0000001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pStyle w:val="21"/>
      <w:lvlText w:val="%3."/>
      <w:lvlJc w:val="right"/>
      <w:pPr>
        <w:ind w:left="1260" w:hanging="420"/>
      </w:pPr>
    </w:lvl>
    <w:lvl w:ilvl="3" w:tentative="0">
      <w:start w:val="1"/>
      <w:numFmt w:val="decimal"/>
      <w:pStyle w:val="20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83F3DFF"/>
    <w:multiLevelType w:val="singleLevel"/>
    <w:tmpl w:val="283F3DFF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73576047"/>
    <w:multiLevelType w:val="singleLevel"/>
    <w:tmpl w:val="7357604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yNWRmYzAzMGYzNmZhZTZiN2RmNTBhMDc1YmY4ZjQifQ=="/>
  </w:docVars>
  <w:rsids>
    <w:rsidRoot w:val="00E66600"/>
    <w:rsid w:val="00154DB9"/>
    <w:rsid w:val="003C5449"/>
    <w:rsid w:val="004807A0"/>
    <w:rsid w:val="006553CA"/>
    <w:rsid w:val="00A66C1A"/>
    <w:rsid w:val="00E66600"/>
    <w:rsid w:val="00F851E8"/>
    <w:rsid w:val="00FA257C"/>
    <w:rsid w:val="022127CD"/>
    <w:rsid w:val="022D17A5"/>
    <w:rsid w:val="0236335D"/>
    <w:rsid w:val="026432DC"/>
    <w:rsid w:val="033306F3"/>
    <w:rsid w:val="039022E7"/>
    <w:rsid w:val="046C12B8"/>
    <w:rsid w:val="04BC3FEE"/>
    <w:rsid w:val="05B16A73"/>
    <w:rsid w:val="05C50C80"/>
    <w:rsid w:val="061D1807"/>
    <w:rsid w:val="06570885"/>
    <w:rsid w:val="072734C8"/>
    <w:rsid w:val="07E13D6B"/>
    <w:rsid w:val="08122176"/>
    <w:rsid w:val="08E81045"/>
    <w:rsid w:val="08FD6983"/>
    <w:rsid w:val="09413606"/>
    <w:rsid w:val="0A285C81"/>
    <w:rsid w:val="0AA277E2"/>
    <w:rsid w:val="0ABA0FCF"/>
    <w:rsid w:val="0B197C79"/>
    <w:rsid w:val="0B1C1508"/>
    <w:rsid w:val="0B211CEA"/>
    <w:rsid w:val="0E1E3623"/>
    <w:rsid w:val="0E9A3896"/>
    <w:rsid w:val="0EC95C85"/>
    <w:rsid w:val="0F3A060E"/>
    <w:rsid w:val="0F8A4666"/>
    <w:rsid w:val="10F31018"/>
    <w:rsid w:val="112A66B2"/>
    <w:rsid w:val="11BD13A5"/>
    <w:rsid w:val="11F25DD1"/>
    <w:rsid w:val="135875D7"/>
    <w:rsid w:val="14302302"/>
    <w:rsid w:val="14477C45"/>
    <w:rsid w:val="16276B53"/>
    <w:rsid w:val="16666575"/>
    <w:rsid w:val="16F85567"/>
    <w:rsid w:val="16F92E7F"/>
    <w:rsid w:val="18027D1B"/>
    <w:rsid w:val="180520BE"/>
    <w:rsid w:val="1A977BB8"/>
    <w:rsid w:val="1ACF1846"/>
    <w:rsid w:val="1ADC77E6"/>
    <w:rsid w:val="1AE87493"/>
    <w:rsid w:val="1B174B40"/>
    <w:rsid w:val="1B193AF0"/>
    <w:rsid w:val="1BE76710"/>
    <w:rsid w:val="1C236CA3"/>
    <w:rsid w:val="1C9C149D"/>
    <w:rsid w:val="1D0B5AE9"/>
    <w:rsid w:val="1DF443A0"/>
    <w:rsid w:val="1E8A7A3F"/>
    <w:rsid w:val="1EFA7B04"/>
    <w:rsid w:val="2008168C"/>
    <w:rsid w:val="2018621B"/>
    <w:rsid w:val="20DE6D33"/>
    <w:rsid w:val="20E20CBD"/>
    <w:rsid w:val="216129D8"/>
    <w:rsid w:val="217F21D3"/>
    <w:rsid w:val="219263AA"/>
    <w:rsid w:val="223119FD"/>
    <w:rsid w:val="22322199"/>
    <w:rsid w:val="22513B6F"/>
    <w:rsid w:val="231A62A1"/>
    <w:rsid w:val="240F73B9"/>
    <w:rsid w:val="24950634"/>
    <w:rsid w:val="24E01036"/>
    <w:rsid w:val="26AC3D79"/>
    <w:rsid w:val="275B5C83"/>
    <w:rsid w:val="278D68E5"/>
    <w:rsid w:val="28C3509B"/>
    <w:rsid w:val="28C83653"/>
    <w:rsid w:val="28EE0144"/>
    <w:rsid w:val="2A757CA7"/>
    <w:rsid w:val="2A7C05D2"/>
    <w:rsid w:val="2AED28A3"/>
    <w:rsid w:val="2CE156E9"/>
    <w:rsid w:val="2D143BBB"/>
    <w:rsid w:val="2D5E35E4"/>
    <w:rsid w:val="2D62383C"/>
    <w:rsid w:val="2D83129D"/>
    <w:rsid w:val="2DE203A8"/>
    <w:rsid w:val="2E3F3416"/>
    <w:rsid w:val="2E5B7357"/>
    <w:rsid w:val="2EE87609"/>
    <w:rsid w:val="2F0932E8"/>
    <w:rsid w:val="2F200724"/>
    <w:rsid w:val="2FE826B5"/>
    <w:rsid w:val="30A8575E"/>
    <w:rsid w:val="31104BF6"/>
    <w:rsid w:val="31524F1E"/>
    <w:rsid w:val="321D3175"/>
    <w:rsid w:val="33EA3E24"/>
    <w:rsid w:val="33FC0973"/>
    <w:rsid w:val="34120C85"/>
    <w:rsid w:val="34447609"/>
    <w:rsid w:val="354E2190"/>
    <w:rsid w:val="36857E34"/>
    <w:rsid w:val="36C635D6"/>
    <w:rsid w:val="36CB6E86"/>
    <w:rsid w:val="36FA6AB5"/>
    <w:rsid w:val="37A27023"/>
    <w:rsid w:val="39AE2ACA"/>
    <w:rsid w:val="3A5539A1"/>
    <w:rsid w:val="3A9C5669"/>
    <w:rsid w:val="3BCC4052"/>
    <w:rsid w:val="3C7735A5"/>
    <w:rsid w:val="3CF905CF"/>
    <w:rsid w:val="3DAA53D0"/>
    <w:rsid w:val="3DFB3BF9"/>
    <w:rsid w:val="3E267C4F"/>
    <w:rsid w:val="3E6D1CF6"/>
    <w:rsid w:val="3ECD34FD"/>
    <w:rsid w:val="3FC419CD"/>
    <w:rsid w:val="3FFD6E37"/>
    <w:rsid w:val="40556AC9"/>
    <w:rsid w:val="40A62E81"/>
    <w:rsid w:val="412C3569"/>
    <w:rsid w:val="414A6E99"/>
    <w:rsid w:val="41E56CFF"/>
    <w:rsid w:val="44533ED7"/>
    <w:rsid w:val="44894F93"/>
    <w:rsid w:val="44991D93"/>
    <w:rsid w:val="44BB13F3"/>
    <w:rsid w:val="46B13B9B"/>
    <w:rsid w:val="46E92171"/>
    <w:rsid w:val="475A7FF8"/>
    <w:rsid w:val="47D44EA6"/>
    <w:rsid w:val="47EB2540"/>
    <w:rsid w:val="47EF335F"/>
    <w:rsid w:val="48413B21"/>
    <w:rsid w:val="49146FAA"/>
    <w:rsid w:val="49F904C5"/>
    <w:rsid w:val="4A3D133A"/>
    <w:rsid w:val="4A427699"/>
    <w:rsid w:val="4B1D1FEE"/>
    <w:rsid w:val="4E223A1D"/>
    <w:rsid w:val="4ECA6F2D"/>
    <w:rsid w:val="4FBB605E"/>
    <w:rsid w:val="50740B35"/>
    <w:rsid w:val="50ED2406"/>
    <w:rsid w:val="50F1510C"/>
    <w:rsid w:val="51223255"/>
    <w:rsid w:val="51773469"/>
    <w:rsid w:val="51813034"/>
    <w:rsid w:val="523D116B"/>
    <w:rsid w:val="531F6D19"/>
    <w:rsid w:val="53361B76"/>
    <w:rsid w:val="552C10A0"/>
    <w:rsid w:val="55B31733"/>
    <w:rsid w:val="55CC6222"/>
    <w:rsid w:val="5692618F"/>
    <w:rsid w:val="57B179A7"/>
    <w:rsid w:val="581B65F8"/>
    <w:rsid w:val="587F24DD"/>
    <w:rsid w:val="58D35805"/>
    <w:rsid w:val="58DB2953"/>
    <w:rsid w:val="5A13386E"/>
    <w:rsid w:val="5A7F4A16"/>
    <w:rsid w:val="5CD86ED1"/>
    <w:rsid w:val="5CEC35B4"/>
    <w:rsid w:val="5D384E12"/>
    <w:rsid w:val="5D7724F2"/>
    <w:rsid w:val="5DA65EFA"/>
    <w:rsid w:val="5DD3163F"/>
    <w:rsid w:val="5E43523B"/>
    <w:rsid w:val="5E6A778C"/>
    <w:rsid w:val="5E766130"/>
    <w:rsid w:val="5E802B0B"/>
    <w:rsid w:val="5EC537C6"/>
    <w:rsid w:val="5ED6097D"/>
    <w:rsid w:val="5EDB5822"/>
    <w:rsid w:val="600A6149"/>
    <w:rsid w:val="604D4D70"/>
    <w:rsid w:val="609D79A4"/>
    <w:rsid w:val="60AB6975"/>
    <w:rsid w:val="60E94436"/>
    <w:rsid w:val="61E73B15"/>
    <w:rsid w:val="62A1618E"/>
    <w:rsid w:val="62D32DCD"/>
    <w:rsid w:val="633C4484"/>
    <w:rsid w:val="63402869"/>
    <w:rsid w:val="63C6326D"/>
    <w:rsid w:val="64147B08"/>
    <w:rsid w:val="68B33E85"/>
    <w:rsid w:val="68CC52CB"/>
    <w:rsid w:val="6BDF3567"/>
    <w:rsid w:val="6BE26BB3"/>
    <w:rsid w:val="6BEC17E0"/>
    <w:rsid w:val="6E313E22"/>
    <w:rsid w:val="6E7F4B8D"/>
    <w:rsid w:val="6EFA4403"/>
    <w:rsid w:val="6F781B69"/>
    <w:rsid w:val="703457D6"/>
    <w:rsid w:val="705D6ADA"/>
    <w:rsid w:val="709C4360"/>
    <w:rsid w:val="70FF1FB5"/>
    <w:rsid w:val="71592FEE"/>
    <w:rsid w:val="7194566A"/>
    <w:rsid w:val="71983564"/>
    <w:rsid w:val="73923E9A"/>
    <w:rsid w:val="73B136F7"/>
    <w:rsid w:val="75C537CD"/>
    <w:rsid w:val="75FD0A92"/>
    <w:rsid w:val="76EA2DC0"/>
    <w:rsid w:val="77071BC4"/>
    <w:rsid w:val="77BD46F0"/>
    <w:rsid w:val="77E14132"/>
    <w:rsid w:val="780E6B47"/>
    <w:rsid w:val="792C3B64"/>
    <w:rsid w:val="793D417B"/>
    <w:rsid w:val="794861A2"/>
    <w:rsid w:val="794E03FE"/>
    <w:rsid w:val="79881353"/>
    <w:rsid w:val="7A614A12"/>
    <w:rsid w:val="7A9674E6"/>
    <w:rsid w:val="7B084C70"/>
    <w:rsid w:val="7C5F5F1B"/>
    <w:rsid w:val="7C6E735C"/>
    <w:rsid w:val="7D964EE9"/>
    <w:rsid w:val="7D9836D6"/>
    <w:rsid w:val="7DAF3AA2"/>
    <w:rsid w:val="7DB54128"/>
    <w:rsid w:val="7EC5165C"/>
    <w:rsid w:val="7EF238EB"/>
    <w:rsid w:val="7F3016CF"/>
    <w:rsid w:val="7F41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autoRedefine/>
    <w:qFormat/>
    <w:uiPriority w:val="0"/>
    <w:pPr>
      <w:keepNext/>
      <w:keepLines/>
      <w:pageBreakBefore/>
      <w:spacing w:after="312" w:afterLines="100" w:line="360" w:lineRule="auto"/>
      <w:jc w:val="center"/>
      <w:textAlignment w:val="baseline"/>
      <w:outlineLvl w:val="0"/>
    </w:pPr>
    <w:rPr>
      <w:rFonts w:ascii="宋体" w:hAnsi="宋体"/>
      <w:b/>
      <w:kern w:val="0"/>
      <w:sz w:val="44"/>
      <w:szCs w:val="44"/>
    </w:rPr>
  </w:style>
  <w:style w:type="paragraph" w:styleId="4">
    <w:name w:val="heading 2"/>
    <w:basedOn w:val="5"/>
    <w:next w:val="1"/>
    <w:autoRedefine/>
    <w:qFormat/>
    <w:uiPriority w:val="0"/>
    <w:pPr>
      <w:keepNext/>
      <w:keepLines/>
      <w:autoSpaceDE w:val="0"/>
      <w:autoSpaceDN w:val="0"/>
      <w:adjustRightInd w:val="0"/>
      <w:spacing w:before="120" w:beforeLines="0" w:after="20" w:afterLines="0" w:line="360" w:lineRule="auto"/>
      <w:jc w:val="left"/>
      <w:textAlignment w:val="baseline"/>
      <w:outlineLvl w:val="1"/>
    </w:pPr>
    <w:rPr>
      <w:rFonts w:ascii="Arial" w:hAnsi="Arial"/>
      <w:spacing w:val="23"/>
      <w:kern w:val="0"/>
      <w:sz w:val="24"/>
      <w:szCs w:val="20"/>
    </w:rPr>
  </w:style>
  <w:style w:type="paragraph" w:styleId="5">
    <w:name w:val="heading 5"/>
    <w:basedOn w:val="1"/>
    <w:next w:val="1"/>
    <w:autoRedefine/>
    <w:unhideWhenUsed/>
    <w:qFormat/>
    <w:uiPriority w:val="9"/>
    <w:pPr>
      <w:keepNext/>
      <w:keepLines/>
      <w:spacing w:line="360" w:lineRule="auto"/>
      <w:ind w:firstLine="574" w:firstLineChars="200"/>
      <w:outlineLvl w:val="4"/>
    </w:pPr>
    <w:rPr>
      <w:rFonts w:ascii="Times New Roman" w:hAnsi="Times New Roman" w:eastAsia="楷体" w:cstheme="minorBidi"/>
      <w:b/>
      <w:bCs/>
      <w:w w:val="95"/>
      <w:sz w:val="30"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pacing w:after="120"/>
    </w:pPr>
  </w:style>
  <w:style w:type="paragraph" w:styleId="6">
    <w:name w:val="Body Text Indent"/>
    <w:basedOn w:val="1"/>
    <w:next w:val="1"/>
    <w:autoRedefine/>
    <w:qFormat/>
    <w:uiPriority w:val="0"/>
    <w:pPr>
      <w:autoSpaceDE w:val="0"/>
      <w:autoSpaceDN w:val="0"/>
      <w:spacing w:line="360" w:lineRule="auto"/>
      <w:ind w:left="181" w:firstLine="539"/>
    </w:pPr>
    <w:rPr>
      <w:sz w:val="24"/>
      <w:szCs w:val="20"/>
    </w:rPr>
  </w:style>
  <w:style w:type="paragraph" w:styleId="7">
    <w:name w:val="Plain Text"/>
    <w:basedOn w:val="1"/>
    <w:autoRedefine/>
    <w:unhideWhenUsed/>
    <w:qFormat/>
    <w:uiPriority w:val="0"/>
    <w:rPr>
      <w:rFonts w:ascii="宋体" w:hAnsi="Courier New"/>
    </w:rPr>
  </w:style>
  <w:style w:type="paragraph" w:styleId="8">
    <w:name w:val="Date"/>
    <w:basedOn w:val="1"/>
    <w:next w:val="1"/>
    <w:autoRedefine/>
    <w:qFormat/>
    <w:uiPriority w:val="0"/>
  </w:style>
  <w:style w:type="paragraph" w:styleId="9">
    <w:name w:val="footer"/>
    <w:basedOn w:val="1"/>
    <w:link w:val="17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6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footnote text"/>
    <w:basedOn w:val="1"/>
    <w:autoRedefine/>
    <w:qFormat/>
    <w:uiPriority w:val="0"/>
    <w:pPr>
      <w:snapToGrid w:val="0"/>
      <w:jc w:val="left"/>
    </w:pPr>
    <w:rPr>
      <w:sz w:val="18"/>
      <w:szCs w:val="18"/>
    </w:rPr>
  </w:style>
  <w:style w:type="paragraph" w:styleId="12">
    <w:name w:val="Normal (Web)"/>
    <w:basedOn w:val="1"/>
    <w:autoRedefine/>
    <w:qFormat/>
    <w:uiPriority w:val="99"/>
    <w:pPr>
      <w:widowControl/>
      <w:spacing w:before="100" w:beforeLines="0" w:beforeAutospacing="1" w:after="100" w:afterLines="0" w:afterAutospacing="1"/>
      <w:jc w:val="left"/>
    </w:pPr>
    <w:rPr>
      <w:rFonts w:ascii="宋体" w:hAnsi="宋体"/>
      <w:kern w:val="0"/>
      <w:sz w:val="24"/>
    </w:rPr>
  </w:style>
  <w:style w:type="paragraph" w:styleId="13">
    <w:name w:val="Body Text First Indent 2"/>
    <w:basedOn w:val="6"/>
    <w:autoRedefine/>
    <w:qFormat/>
    <w:uiPriority w:val="0"/>
    <w:pPr>
      <w:ind w:firstLine="420" w:firstLineChars="200"/>
    </w:pPr>
  </w:style>
  <w:style w:type="character" w:customStyle="1" w:styleId="16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17">
    <w:name w:val="页脚 字符"/>
    <w:basedOn w:val="15"/>
    <w:link w:val="9"/>
    <w:autoRedefine/>
    <w:qFormat/>
    <w:uiPriority w:val="99"/>
    <w:rPr>
      <w:sz w:val="18"/>
      <w:szCs w:val="18"/>
    </w:rPr>
  </w:style>
  <w:style w:type="paragraph" w:customStyle="1" w:styleId="18">
    <w:name w:val="段"/>
    <w:autoRedefine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19">
    <w:name w:val="五级条标题 Char"/>
    <w:basedOn w:val="15"/>
    <w:autoRedefine/>
    <w:qFormat/>
    <w:uiPriority w:val="0"/>
    <w:rPr>
      <w:rFonts w:hint="default" w:ascii="Calibri" w:hAnsi="Calibri" w:cs="Calibri"/>
      <w:kern w:val="2"/>
      <w:szCs w:val="22"/>
    </w:rPr>
  </w:style>
  <w:style w:type="paragraph" w:customStyle="1" w:styleId="20">
    <w:name w:val="二级条标题"/>
    <w:basedOn w:val="21"/>
    <w:next w:val="1"/>
    <w:autoRedefine/>
    <w:qFormat/>
    <w:uiPriority w:val="0"/>
    <w:pPr>
      <w:numPr>
        <w:ilvl w:val="3"/>
        <w:numId w:val="1"/>
      </w:numPr>
      <w:outlineLvl w:val="3"/>
    </w:pPr>
  </w:style>
  <w:style w:type="paragraph" w:customStyle="1" w:styleId="21">
    <w:name w:val="一级条标题"/>
    <w:next w:val="1"/>
    <w:autoRedefine/>
    <w:qFormat/>
    <w:uiPriority w:val="0"/>
    <w:pPr>
      <w:numPr>
        <w:ilvl w:val="2"/>
        <w:numId w:val="1"/>
      </w:num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22">
    <w:name w:val="普通正文"/>
    <w:basedOn w:val="1"/>
    <w:autoRedefine/>
    <w:qFormat/>
    <w:uiPriority w:val="0"/>
    <w:pPr>
      <w:keepNext w:val="0"/>
      <w:keepLines w:val="0"/>
      <w:widowControl w:val="0"/>
      <w:suppressLineNumbers w:val="0"/>
      <w:adjustRightInd w:val="0"/>
      <w:spacing w:before="120" w:beforeLines="0" w:beforeAutospacing="0" w:after="120" w:afterLines="0" w:afterAutospacing="0"/>
      <w:ind w:left="0" w:right="0"/>
      <w:jc w:val="left"/>
    </w:pPr>
    <w:rPr>
      <w:rFonts w:ascii="Arial" w:hAnsi="Arial" w:eastAsia="宋体" w:cs="Times New Roman"/>
      <w:color w:val="auto"/>
      <w:kern w:val="0"/>
      <w:sz w:val="24"/>
      <w:szCs w:val="20"/>
      <w:lang w:val="en-US" w:eastAsia="zh-CN" w:bidi="ar-SA"/>
    </w:rPr>
  </w:style>
  <w:style w:type="paragraph" w:customStyle="1" w:styleId="23">
    <w:name w:val="*Body Single"/>
    <w:basedOn w:val="1"/>
    <w:autoRedefine/>
    <w:qFormat/>
    <w:uiPriority w:val="0"/>
    <w:pPr>
      <w:keepNext w:val="0"/>
      <w:keepLines w:val="0"/>
      <w:widowControl/>
      <w:suppressLineNumbers w:val="0"/>
      <w:spacing w:before="0" w:beforeLines="0" w:beforeAutospacing="0" w:after="0" w:afterLines="0" w:afterAutospacing="0"/>
      <w:ind w:left="0" w:right="0"/>
      <w:jc w:val="left"/>
    </w:pPr>
    <w:rPr>
      <w:rFonts w:ascii="Arial" w:hAnsi="Arial" w:eastAsia="Times New Roman" w:cs="Times New Roman"/>
      <w:color w:val="000000"/>
      <w:kern w:val="2"/>
      <w:sz w:val="22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34</Pages>
  <Words>12811</Words>
  <Characters>16168</Characters>
  <Lines>1</Lines>
  <Paragraphs>1</Paragraphs>
  <TotalTime>0</TotalTime>
  <ScaleCrop>false</ScaleCrop>
  <LinksUpToDate>false</LinksUpToDate>
  <CharactersWithSpaces>16203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2018-04-16T07:39:00Z</dcterms:created>
  <dc:creator>5F-3-8-80  张会明(10024525)</dc:creator>
  <cp:lastModifiedBy>得不到的永远在骚动</cp:lastModifiedBy>
  <cp:lastPrinted>2023-08-07T06:10:00Z</cp:lastPrinted>
  <dcterms:modified xsi:type="dcterms:W3CDTF">2023-12-28T09:04:05Z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C19FD806A7FB47A5951DCBE902C1CC22_13</vt:lpwstr>
  </property>
</Properties>
</file>